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A1728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附件14：</w:t>
      </w:r>
    </w:p>
    <w:p w14:paraId="3B4B952A">
      <w:pPr>
        <w:jc w:val="center"/>
        <w:rPr>
          <w:rFonts w:hint="eastAsia"/>
          <w:lang w:val="en-US" w:eastAsia="zh-CN"/>
        </w:rPr>
      </w:pPr>
    </w:p>
    <w:p w14:paraId="272935C8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扩增仪技术参数</w:t>
      </w:r>
    </w:p>
    <w:p w14:paraId="5E13D060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激发光源： LED 光源(免维护)；</w:t>
      </w:r>
    </w:p>
    <w:p w14:paraId="65813E8E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检测器： 高灵敏度光电传感器；</w:t>
      </w:r>
    </w:p>
    <w:p w14:paraId="5A13901C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样本容量：96(2×48*0.2ml)（双反应模块）；</w:t>
      </w:r>
    </w:p>
    <w:p w14:paraId="0CC5EA06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荧光检测波长： 4-6 通道；</w:t>
      </w:r>
    </w:p>
    <w:p w14:paraId="0ADC4882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使用年限： ≥7 年；</w:t>
      </w:r>
    </w:p>
    <w:p w14:paraId="30A7FF26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运行控制： 一台电脑可连多台本仪器，控制运行；</w:t>
      </w:r>
    </w:p>
    <w:p w14:paraId="7F84E433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适用试剂： 适用开放试剂；</w:t>
      </w:r>
    </w:p>
    <w:p w14:paraId="6A692638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激发、检测光的传输模式：每一反应孔独立的光纤传输；</w:t>
      </w:r>
    </w:p>
    <w:p w14:paraId="4F427F1B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软件应用模式： 定量/定性、多色熔解曲线、多管多项目分析、相对定量、等位基因、HRM（高分辨率熔解曲线）、SAT 实时荧光等温扩增；</w:t>
      </w:r>
    </w:p>
    <w:p w14:paraId="028A5D3C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模块温度范围： 4℃-99℃；</w:t>
      </w:r>
    </w:p>
    <w:p w14:paraId="6BB56B8F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检测动力学范围： 100-101012、最小检测模板： 单个拷贝；</w:t>
      </w:r>
    </w:p>
    <w:p w14:paraId="58018391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反应容积： 15ul-100ul；</w:t>
      </w:r>
    </w:p>
    <w:p w14:paraId="04D8084D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控温模式： 半导体热电模块；</w:t>
      </w:r>
    </w:p>
    <w:p w14:paraId="500E0B15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升降温速率(MAX)： 4℃/S；</w:t>
      </w:r>
    </w:p>
    <w:p w14:paraId="24432890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控温精度：±0.1℃；</w:t>
      </w:r>
    </w:p>
    <w:p w14:paraId="2742E447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温度均匀性：±0.1℃；</w:t>
      </w:r>
    </w:p>
    <w:p w14:paraId="550E21CB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断电保护： 有断电保护功能；</w:t>
      </w:r>
      <w:bookmarkStart w:id="0" w:name="_GoBack"/>
      <w:bookmarkEnd w:id="0"/>
    </w:p>
    <w:p w14:paraId="77E12D99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</w:rPr>
        <w:t>整机质保</w:t>
      </w:r>
      <w:r>
        <w:rPr>
          <w:rFonts w:hint="eastAsia"/>
          <w:lang w:val="en-US" w:eastAsia="zh-CN"/>
        </w:rPr>
        <w:t>≥3</w:t>
      </w:r>
      <w:r>
        <w:rPr>
          <w:rFonts w:hint="eastAsia"/>
        </w:rPr>
        <w:t>年，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到货日期与出厂日期相差不超过6个月。</w:t>
      </w:r>
    </w:p>
    <w:p w14:paraId="521001CC">
      <w:pPr>
        <w:jc w:val="both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9A4DAF"/>
    <w:multiLevelType w:val="singleLevel"/>
    <w:tmpl w:val="2B9A4DA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773FEF"/>
    <w:rsid w:val="376E4179"/>
    <w:rsid w:val="4B47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341</Characters>
  <Lines>0</Lines>
  <Paragraphs>0</Paragraphs>
  <TotalTime>0</TotalTime>
  <ScaleCrop>false</ScaleCrop>
  <LinksUpToDate>false</LinksUpToDate>
  <CharactersWithSpaces>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2026-09-11T07:13:00Z</dcterms:created>
  <dc:creator>Admin</dc:creator>
  <cp:lastModifiedBy>x.x.m</cp:lastModifiedBy>
  <dcterms:modified xsi:type="dcterms:W3CDTF">2026-10-10T03:00:47Z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eyJoZGlkIjoiMWNmODhiOTVlMjFhOTU0ZmE1MmE3MWYyZjgzZWIyNzMiLCJ1c2VySWQiOiIzMzUzNTk5MzYifQ==</vt:lpwstr>
  </property>
  <property fmtid="{D5CDD505-2E9C-101B-9397-08002B2CF9AE}" pid="4" name="ICV">
    <vt:lpwstr>E21E0ABDB79F4A36918E86E47937E9FF_12</vt:lpwstr>
  </property>
</Properties>
</file>