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30E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 w:firstLineChars="0"/>
        <w:jc w:val="left"/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20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20"/>
          <w:lang w:val="en-US" w:eastAsia="zh-CN"/>
        </w:rPr>
        <w:t>附件3：</w:t>
      </w:r>
    </w:p>
    <w:p w14:paraId="0D87D677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西双版纳傣族自治州人民医院</w:t>
      </w:r>
    </w:p>
    <w:p w14:paraId="4665976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银行流动资金贷款授信额度服务采购需求</w:t>
      </w:r>
    </w:p>
    <w:p w14:paraId="1382CC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 w:firstLineChars="0"/>
        <w:rPr>
          <w:rFonts w:ascii="Times New Roman" w:hAnsi="Times New Roman" w:eastAsia="黑体"/>
          <w:color w:val="000000"/>
          <w:sz w:val="32"/>
          <w:szCs w:val="24"/>
        </w:rPr>
      </w:pPr>
      <w:r>
        <w:rPr>
          <w:rFonts w:ascii="Times New Roman" w:hAnsi="Times New Roman" w:eastAsia="黑体"/>
          <w:color w:val="000000"/>
          <w:sz w:val="32"/>
          <w:szCs w:val="24"/>
        </w:rPr>
        <w:t>一、项目概况</w:t>
      </w:r>
    </w:p>
    <w:p w14:paraId="668465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3" w:firstLineChars="200"/>
        <w:textAlignment w:val="auto"/>
        <w:rPr>
          <w:rFonts w:hint="default" w:ascii="Times New Roman" w:hAnsi="Times New Roman" w:eastAsia="方正仿宋_GBK"/>
          <w:color w:val="000000"/>
          <w:sz w:val="32"/>
          <w:szCs w:val="24"/>
          <w:lang w:val="en-US"/>
        </w:rPr>
      </w:pPr>
      <w:r>
        <w:rPr>
          <w:rFonts w:ascii="Times New Roman" w:hAnsi="Times New Roman" w:eastAsia="方正楷体_GBK"/>
          <w:color w:val="000000"/>
          <w:sz w:val="32"/>
          <w:szCs w:val="24"/>
        </w:rPr>
        <w:t>（一）项目名称</w:t>
      </w:r>
      <w:r>
        <w:rPr>
          <w:rFonts w:hint="eastAsia" w:ascii="Times New Roman" w:hAnsi="Times New Roman" w:eastAsia="方正楷体_GBK"/>
          <w:color w:val="000000"/>
          <w:sz w:val="32"/>
          <w:szCs w:val="24"/>
          <w:lang w:eastAsia="zh-CN"/>
        </w:rPr>
        <w:t>：</w:t>
      </w:r>
      <w:r>
        <w:rPr>
          <w:rFonts w:hint="eastAsia" w:ascii="Times New Roman" w:hAnsi="Times New Roman" w:eastAsia="方正仿宋_GBK" w:cs="宋体"/>
          <w:b w:val="0"/>
          <w:bCs w:val="0"/>
          <w:color w:val="000000"/>
          <w:kern w:val="0"/>
          <w:sz w:val="32"/>
          <w:szCs w:val="24"/>
          <w:lang w:val="en-US" w:eastAsia="zh-CN" w:bidi="ar"/>
        </w:rPr>
        <w:t>西双版纳州人民</w:t>
      </w:r>
      <w:r>
        <w:rPr>
          <w:rFonts w:hint="default" w:ascii="Times New Roman" w:hAnsi="Times New Roman" w:eastAsia="方正仿宋_GBK" w:cs="宋体"/>
          <w:b w:val="0"/>
          <w:bCs w:val="0"/>
          <w:color w:val="000000"/>
          <w:kern w:val="0"/>
          <w:sz w:val="32"/>
          <w:szCs w:val="24"/>
          <w:lang w:val="en-US" w:eastAsia="zh-CN" w:bidi="ar"/>
        </w:rPr>
        <w:t>医院银行流动资金贷款授信额度采购</w:t>
      </w:r>
      <w:r>
        <w:rPr>
          <w:rFonts w:hint="eastAsia" w:ascii="Times New Roman" w:hAnsi="Times New Roman" w:eastAsia="方正仿宋_GBK" w:cs="宋体"/>
          <w:b w:val="0"/>
          <w:bCs w:val="0"/>
          <w:color w:val="000000"/>
          <w:kern w:val="0"/>
          <w:sz w:val="32"/>
          <w:szCs w:val="24"/>
          <w:lang w:val="en-US" w:eastAsia="zh-CN" w:bidi="ar"/>
        </w:rPr>
        <w:t>服务</w:t>
      </w:r>
    </w:p>
    <w:p w14:paraId="06297BC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3" w:firstLineChars="200"/>
        <w:textAlignment w:val="auto"/>
        <w:rPr>
          <w:rFonts w:ascii="Times New Roman" w:hAnsi="Times New Roman" w:eastAsia="方正楷体_GBK"/>
          <w:color w:val="000000"/>
          <w:sz w:val="32"/>
          <w:szCs w:val="24"/>
        </w:rPr>
      </w:pPr>
      <w:r>
        <w:rPr>
          <w:rFonts w:ascii="Times New Roman" w:hAnsi="Times New Roman" w:eastAsia="方正楷体_GBK"/>
          <w:color w:val="000000"/>
          <w:sz w:val="32"/>
          <w:szCs w:val="24"/>
        </w:rPr>
        <w:t>（二）合作背景与必要性</w:t>
      </w:r>
    </w:p>
    <w:p w14:paraId="042850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right="0" w:firstLine="640" w:firstLineChars="200"/>
        <w:jc w:val="left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 w:cs="宋体"/>
          <w:color w:val="000000"/>
          <w:kern w:val="0"/>
          <w:sz w:val="32"/>
          <w:szCs w:val="24"/>
          <w:lang w:val="en-US" w:eastAsia="zh-CN" w:bidi="ar"/>
        </w:rPr>
        <w:t>随着DRG医保结算改革推进，医院药品耗材采购、学科建设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24"/>
          <w:lang w:val="en-US" w:eastAsia="zh-CN" w:bidi="ar"/>
        </w:rPr>
        <w:t>、日常运转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24"/>
          <w:lang w:val="en-US" w:eastAsia="zh-CN" w:bidi="ar"/>
        </w:rPr>
        <w:t>等刚性支出持续增长，现金流压力加大，亟需稳定、低成本的流动资金信贷支持。为有效缓解医院运营资金压力，保障日常经营有序运转，现通过公开遴选方式确定合作银行，提供流动资金贷款授信服务。</w:t>
      </w:r>
    </w:p>
    <w:p w14:paraId="0D2BCF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3" w:firstLineChars="200"/>
        <w:textAlignment w:val="auto"/>
        <w:rPr>
          <w:rFonts w:ascii="Times New Roman" w:hAnsi="Times New Roman" w:eastAsia="方正楷体_GBK"/>
          <w:color w:val="000000"/>
          <w:sz w:val="32"/>
          <w:szCs w:val="24"/>
        </w:rPr>
      </w:pPr>
      <w:r>
        <w:rPr>
          <w:rFonts w:ascii="Times New Roman" w:hAnsi="Times New Roman" w:eastAsia="方正楷体_GBK"/>
          <w:color w:val="000000"/>
          <w:sz w:val="32"/>
          <w:szCs w:val="24"/>
        </w:rPr>
        <w:t>（三）采购内容</w:t>
      </w:r>
    </w:p>
    <w:p w14:paraId="73DE88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right="0" w:firstLine="640" w:firstLineChars="200"/>
        <w:jc w:val="left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 w:cs="宋体"/>
          <w:color w:val="000000"/>
          <w:kern w:val="0"/>
          <w:sz w:val="32"/>
          <w:szCs w:val="24"/>
          <w:lang w:val="en-US" w:eastAsia="zh-CN" w:bidi="ar"/>
        </w:rPr>
        <w:t>为医院提供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-SA"/>
        </w:rPr>
        <w:t>人民币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24"/>
          <w:lang w:val="en-US" w:eastAsia="zh-CN" w:bidi="ar"/>
        </w:rPr>
        <w:t>3.6亿元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24"/>
          <w:lang w:val="en-US" w:eastAsia="zh-CN" w:bidi="ar"/>
        </w:rPr>
        <w:t>可循环使用流动资金贷款授信额度，用于医院日常运营周转资金（药品采购、人员工资、五险两金、医疗设备常规维护保养、水电后勤保障以及院区运维等），资金严禁用于基础设施建设、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24"/>
          <w:lang w:val="en-US" w:eastAsia="zh-CN" w:bidi="ar"/>
        </w:rPr>
        <w:t>信息化建设、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24"/>
          <w:lang w:val="en-US" w:eastAsia="zh-CN" w:bidi="ar"/>
        </w:rPr>
        <w:t>大型设备购置、发放绩效。合作银行需按照国家金融政策及双方约定，完成授信审批、放款、贷后管理、利率执行、还款管理等全流程金融服务。</w:t>
      </w:r>
    </w:p>
    <w:p w14:paraId="09EA79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 w:firstLineChars="0"/>
        <w:rPr>
          <w:rFonts w:ascii="Times New Roman" w:hAnsi="Times New Roman" w:eastAsia="黑体"/>
          <w:color w:val="000000"/>
          <w:sz w:val="32"/>
          <w:szCs w:val="24"/>
        </w:rPr>
      </w:pPr>
      <w:r>
        <w:rPr>
          <w:rFonts w:ascii="Times New Roman" w:hAnsi="Times New Roman" w:eastAsia="黑体"/>
          <w:color w:val="000000"/>
          <w:sz w:val="32"/>
          <w:szCs w:val="24"/>
        </w:rPr>
        <w:t>二、投标人资格要求</w:t>
      </w:r>
    </w:p>
    <w:p w14:paraId="2631495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3" w:firstLineChars="200"/>
        <w:rPr>
          <w:rFonts w:ascii="Times New Roman" w:hAnsi="Times New Roman" w:eastAsia="方正仿宋_GBK"/>
          <w:color w:val="000000"/>
          <w:sz w:val="32"/>
          <w:szCs w:val="24"/>
          <w:highlight w:val="yellow"/>
        </w:rPr>
      </w:pPr>
      <w:r>
        <w:rPr>
          <w:rStyle w:val="7"/>
          <w:rFonts w:ascii="Times New Roman" w:hAnsi="Times New Roman" w:eastAsia="方正仿宋_GBK" w:cs="Times New Roman"/>
          <w:b/>
          <w:bCs/>
          <w:color w:val="000000"/>
          <w:sz w:val="32"/>
          <w:szCs w:val="24"/>
          <w:lang w:val="en-US" w:eastAsia="zh-CN"/>
        </w:rPr>
        <w:t>1.</w:t>
      </w:r>
      <w:r>
        <w:rPr>
          <w:rStyle w:val="7"/>
          <w:rFonts w:ascii="Times New Roman" w:hAnsi="Times New Roman" w:eastAsia="方正仿宋_GBK"/>
          <w:b/>
          <w:bCs/>
          <w:color w:val="000000"/>
          <w:sz w:val="32"/>
          <w:szCs w:val="24"/>
        </w:rPr>
        <w:t>主体资质</w:t>
      </w:r>
      <w:r>
        <w:rPr>
          <w:rFonts w:ascii="Times New Roman" w:hAnsi="Times New Roman" w:eastAsia="方正仿宋_GBK"/>
          <w:color w:val="000000"/>
          <w:sz w:val="32"/>
          <w:szCs w:val="24"/>
        </w:rPr>
        <w:t>：</w:t>
      </w:r>
      <w:r>
        <w:rPr>
          <w:rFonts w:ascii="Times New Roman" w:hAnsi="Times New Roman" w:eastAsia="方正仿宋_GBK"/>
          <w:color w:val="auto"/>
          <w:sz w:val="32"/>
          <w:szCs w:val="24"/>
        </w:rPr>
        <w:t>在中华人民共和国境内依法设立的国有商业银行、股份制商业银行、政策性银行、城市商业银行</w:t>
      </w:r>
      <w:r>
        <w:rPr>
          <w:rFonts w:hint="eastAsia" w:ascii="Times New Roman" w:hAnsi="Times New Roman" w:eastAsia="方正仿宋_GBK"/>
          <w:color w:val="auto"/>
          <w:sz w:val="32"/>
          <w:szCs w:val="24"/>
          <w:lang w:val="en-US" w:eastAsia="zh-CN"/>
        </w:rPr>
        <w:t>等银行业金融机构</w:t>
      </w:r>
      <w:r>
        <w:rPr>
          <w:rFonts w:ascii="Times New Roman" w:hAnsi="Times New Roman" w:eastAsia="方正仿宋_GBK"/>
          <w:color w:val="auto"/>
          <w:sz w:val="32"/>
          <w:szCs w:val="24"/>
        </w:rPr>
        <w:t>，持</w:t>
      </w:r>
      <w:r>
        <w:rPr>
          <w:rFonts w:ascii="Times New Roman" w:hAnsi="Times New Roman" w:eastAsia="方正仿宋_GBK"/>
          <w:color w:val="000000"/>
          <w:sz w:val="32"/>
          <w:szCs w:val="24"/>
        </w:rPr>
        <w:t>有有效的《金融许可证》《营业执照》，具备独立法人资格或取得州级分行唯一</w:t>
      </w:r>
      <w:r>
        <w:rPr>
          <w:rFonts w:ascii="Times New Roman" w:hAnsi="Times New Roman" w:eastAsia="方正仿宋_GBK"/>
          <w:color w:val="000000"/>
          <w:sz w:val="32"/>
          <w:szCs w:val="24"/>
          <w:highlight w:val="none"/>
        </w:rPr>
        <w:t>授权书。</w:t>
      </w:r>
    </w:p>
    <w:p w14:paraId="2914932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3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Style w:val="7"/>
          <w:rFonts w:ascii="Times New Roman" w:hAnsi="Times New Roman" w:eastAsia="方正仿宋_GBK" w:cs="Times New Roman"/>
          <w:b/>
          <w:bCs/>
          <w:color w:val="000000"/>
          <w:sz w:val="32"/>
          <w:szCs w:val="24"/>
          <w:lang w:val="en-US" w:eastAsia="zh-CN"/>
        </w:rPr>
        <w:t>2.</w:t>
      </w:r>
      <w:r>
        <w:rPr>
          <w:rStyle w:val="7"/>
          <w:rFonts w:ascii="Times New Roman" w:hAnsi="Times New Roman" w:eastAsia="方正仿宋_GBK"/>
          <w:b/>
          <w:bCs/>
          <w:color w:val="000000"/>
          <w:sz w:val="32"/>
          <w:szCs w:val="24"/>
        </w:rPr>
        <w:t>业务资质</w:t>
      </w:r>
      <w:r>
        <w:rPr>
          <w:rFonts w:ascii="Times New Roman" w:hAnsi="Times New Roman" w:eastAsia="方正仿宋_GBK"/>
          <w:color w:val="000000"/>
          <w:sz w:val="32"/>
          <w:szCs w:val="24"/>
        </w:rPr>
        <w:t>：具备对事业单位发放流动资金贷款的成熟业务资格，</w:t>
      </w:r>
      <w:bookmarkStart w:id="0" w:name="_GoBack"/>
      <w:bookmarkEnd w:id="0"/>
      <w:r>
        <w:rPr>
          <w:rFonts w:ascii="Times New Roman" w:hAnsi="Times New Roman" w:eastAsia="方正仿宋_GBK"/>
          <w:color w:val="000000"/>
          <w:sz w:val="32"/>
          <w:szCs w:val="24"/>
        </w:rPr>
        <w:t>无被监管部门暂停或限制授信业务的处罚记录。</w:t>
      </w:r>
    </w:p>
    <w:p w14:paraId="5544CEA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3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Style w:val="7"/>
          <w:rFonts w:ascii="Times New Roman" w:hAnsi="Times New Roman" w:eastAsia="方正仿宋_GBK" w:cs="Times New Roman"/>
          <w:b/>
          <w:bCs/>
          <w:color w:val="000000"/>
          <w:sz w:val="32"/>
          <w:szCs w:val="24"/>
          <w:lang w:val="en-US" w:eastAsia="zh-CN"/>
        </w:rPr>
        <w:t>3.</w:t>
      </w:r>
      <w:r>
        <w:rPr>
          <w:rStyle w:val="7"/>
          <w:rFonts w:ascii="Times New Roman" w:hAnsi="Times New Roman" w:eastAsia="方正仿宋_GBK"/>
          <w:b/>
          <w:bCs/>
          <w:color w:val="000000"/>
          <w:sz w:val="32"/>
          <w:szCs w:val="24"/>
        </w:rPr>
        <w:t>信誉要求</w:t>
      </w:r>
      <w:r>
        <w:rPr>
          <w:rFonts w:ascii="Times New Roman" w:hAnsi="Times New Roman" w:eastAsia="方正仿宋_GBK"/>
          <w:color w:val="000000"/>
          <w:sz w:val="32"/>
          <w:szCs w:val="24"/>
        </w:rPr>
        <w:t>：近3年在金融监管、财政、税务等部门无重大违法违规记录，未被列入失信被执行人、重大税收违法失信主体、政府采购严重违法失信行为记录名单，银行主体信用评级良好。</w:t>
      </w:r>
    </w:p>
    <w:p w14:paraId="535A1F2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3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Style w:val="7"/>
          <w:rFonts w:ascii="Times New Roman" w:hAnsi="Times New Roman" w:eastAsia="方正仿宋_GBK" w:cs="Times New Roman"/>
          <w:b/>
          <w:bCs/>
          <w:color w:val="000000"/>
          <w:sz w:val="32"/>
          <w:szCs w:val="24"/>
          <w:lang w:val="en-US" w:eastAsia="zh-CN"/>
        </w:rPr>
        <w:t>4.</w:t>
      </w:r>
      <w:r>
        <w:rPr>
          <w:rStyle w:val="7"/>
          <w:rFonts w:ascii="Times New Roman" w:hAnsi="Times New Roman" w:eastAsia="方正仿宋_GBK"/>
          <w:b/>
          <w:bCs/>
          <w:color w:val="000000"/>
          <w:sz w:val="32"/>
          <w:szCs w:val="24"/>
        </w:rPr>
        <w:t>监管指标</w:t>
      </w:r>
      <w:r>
        <w:rPr>
          <w:rFonts w:ascii="Times New Roman" w:hAnsi="Times New Roman" w:eastAsia="方正仿宋_GBK"/>
          <w:color w:val="000000"/>
          <w:sz w:val="32"/>
          <w:szCs w:val="24"/>
        </w:rPr>
        <w:t>：资本充足率、不良贷款率、拨备覆盖率、流动性比例等符合监管要求；人民银行综合评价B级及以上（提供有效证明或承诺）。</w:t>
      </w:r>
    </w:p>
    <w:p w14:paraId="615EA81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3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Style w:val="7"/>
          <w:rFonts w:ascii="Times New Roman" w:hAnsi="Times New Roman" w:eastAsia="方正仿宋_GBK" w:cs="Times New Roman"/>
          <w:b/>
          <w:bCs/>
          <w:color w:val="000000"/>
          <w:sz w:val="32"/>
          <w:szCs w:val="24"/>
          <w:lang w:val="en-US" w:eastAsia="zh-CN"/>
        </w:rPr>
        <w:t>5.</w:t>
      </w:r>
      <w:r>
        <w:rPr>
          <w:rStyle w:val="7"/>
          <w:rFonts w:ascii="Times New Roman" w:hAnsi="Times New Roman" w:eastAsia="方正仿宋_GBK"/>
          <w:b/>
          <w:bCs/>
          <w:color w:val="000000"/>
          <w:sz w:val="32"/>
          <w:szCs w:val="24"/>
        </w:rPr>
        <w:t>内部管理与风险控制能力</w:t>
      </w:r>
      <w:r>
        <w:rPr>
          <w:rFonts w:ascii="Times New Roman" w:hAnsi="Times New Roman" w:eastAsia="方正仿宋_GBK"/>
          <w:color w:val="000000"/>
          <w:sz w:val="32"/>
          <w:szCs w:val="24"/>
        </w:rPr>
        <w:t>：具有健全的贷款审批制度、资金支付管控机制、利率定价机制、贷后管理体系及信息保密制度，能够配合医院对贷款资金用途进行合规监控。</w:t>
      </w:r>
    </w:p>
    <w:p w14:paraId="2F22AB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 w:firstLineChars="0"/>
        <w:rPr>
          <w:rFonts w:ascii="Times New Roman" w:hAnsi="Times New Roman" w:eastAsia="黑体"/>
          <w:color w:val="000000"/>
          <w:sz w:val="32"/>
          <w:szCs w:val="24"/>
        </w:rPr>
      </w:pPr>
      <w:r>
        <w:rPr>
          <w:rFonts w:ascii="Times New Roman" w:hAnsi="Times New Roman" w:eastAsia="黑体"/>
          <w:color w:val="000000"/>
          <w:sz w:val="32"/>
          <w:szCs w:val="24"/>
        </w:rPr>
        <w:t>三、核心服务需求</w:t>
      </w:r>
    </w:p>
    <w:p w14:paraId="74A0EB9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3" w:firstLineChars="200"/>
        <w:textAlignment w:val="auto"/>
        <w:rPr>
          <w:rFonts w:ascii="Times New Roman" w:hAnsi="Times New Roman" w:eastAsia="方正楷体_GBK"/>
          <w:color w:val="000000"/>
          <w:sz w:val="32"/>
          <w:szCs w:val="24"/>
        </w:rPr>
      </w:pPr>
      <w:r>
        <w:rPr>
          <w:rFonts w:ascii="Times New Roman" w:hAnsi="Times New Roman" w:eastAsia="方正楷体_GBK"/>
          <w:color w:val="000000"/>
          <w:sz w:val="32"/>
          <w:szCs w:val="24"/>
        </w:rPr>
        <w:t>（一）授信额度与用款灵活性</w:t>
      </w:r>
    </w:p>
    <w:p w14:paraId="1321503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1.</w:t>
      </w:r>
      <w:r>
        <w:rPr>
          <w:rFonts w:ascii="Times New Roman" w:hAnsi="Times New Roman" w:eastAsia="方正仿宋_GBK"/>
          <w:color w:val="000000"/>
          <w:sz w:val="32"/>
          <w:szCs w:val="24"/>
        </w:rPr>
        <w:t>提供人民币</w:t>
      </w:r>
      <w:r>
        <w:rPr>
          <w:rFonts w:hint="eastAsia" w:ascii="Times New Roman" w:hAnsi="Times New Roman" w:eastAsia="方正仿宋_GBK"/>
          <w:color w:val="000000"/>
          <w:sz w:val="32"/>
          <w:szCs w:val="24"/>
          <w:lang w:val="en-US" w:eastAsia="zh-CN"/>
        </w:rPr>
        <w:t>3.6</w:t>
      </w:r>
      <w:r>
        <w:rPr>
          <w:rFonts w:ascii="Times New Roman" w:hAnsi="Times New Roman" w:eastAsia="方正仿宋_GBK"/>
          <w:color w:val="000000"/>
          <w:sz w:val="32"/>
          <w:szCs w:val="24"/>
        </w:rPr>
        <w:t>亿元可循环使用流动资金贷款授信额度，授信期限3年。</w:t>
      </w:r>
    </w:p>
    <w:p w14:paraId="56764C4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2.</w:t>
      </w:r>
      <w:r>
        <w:rPr>
          <w:rFonts w:ascii="Times New Roman" w:hAnsi="Times New Roman" w:eastAsia="方正仿宋_GBK"/>
          <w:color w:val="000000"/>
          <w:sz w:val="32"/>
          <w:szCs w:val="24"/>
        </w:rPr>
        <w:t>额度支持按需提款、随借随还，无最低用款比例限制，不提款不计收利息及任何费用；额度内单笔用款期限灵活，支持提前还款且不收取违约金。</w:t>
      </w:r>
    </w:p>
    <w:p w14:paraId="03284CC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3" w:firstLineChars="200"/>
        <w:textAlignment w:val="auto"/>
        <w:rPr>
          <w:rFonts w:ascii="Times New Roman" w:hAnsi="Times New Roman" w:eastAsia="方正楷体_GBK"/>
          <w:color w:val="000000"/>
          <w:sz w:val="32"/>
          <w:szCs w:val="24"/>
        </w:rPr>
      </w:pPr>
      <w:r>
        <w:rPr>
          <w:rFonts w:ascii="Times New Roman" w:hAnsi="Times New Roman" w:eastAsia="方正楷体_GBK"/>
          <w:color w:val="000000"/>
          <w:sz w:val="32"/>
          <w:szCs w:val="24"/>
        </w:rPr>
        <w:t>（二）利率与综合成本</w:t>
      </w:r>
    </w:p>
    <w:p w14:paraId="74797EA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1.</w:t>
      </w:r>
      <w:r>
        <w:rPr>
          <w:rFonts w:hint="eastAsia" w:ascii="Times New Roman" w:hAnsi="Times New Roman" w:eastAsia="方正仿宋_GBK"/>
          <w:color w:val="000000"/>
          <w:sz w:val="32"/>
          <w:szCs w:val="24"/>
          <w:lang w:val="en-US" w:eastAsia="zh-CN"/>
        </w:rPr>
        <w:t>贷款利率</w:t>
      </w:r>
      <w:r>
        <w:rPr>
          <w:rFonts w:ascii="Times New Roman" w:hAnsi="Times New Roman" w:eastAsia="方正仿宋_GBK"/>
          <w:color w:val="000000"/>
          <w:sz w:val="32"/>
          <w:szCs w:val="24"/>
        </w:rPr>
        <w:t>采用LPR减点（LPR-BP）定价模式，实行</w:t>
      </w:r>
      <w:r>
        <w:rPr>
          <w:rStyle w:val="7"/>
          <w:rFonts w:ascii="Times New Roman" w:hAnsi="Times New Roman" w:eastAsia="方正仿宋_GBK"/>
          <w:b w:val="0"/>
          <w:bCs w:val="0"/>
          <w:color w:val="000000"/>
          <w:sz w:val="32"/>
          <w:szCs w:val="24"/>
        </w:rPr>
        <w:t>降息联动、升息封顶</w:t>
      </w:r>
      <w:r>
        <w:rPr>
          <w:rFonts w:hint="eastAsia" w:ascii="Times New Roman" w:hAnsi="Times New Roman" w:eastAsia="方正仿宋_GBK"/>
          <w:color w:val="000000"/>
          <w:sz w:val="32"/>
          <w:szCs w:val="24"/>
          <w:lang w:eastAsia="zh-CN"/>
        </w:rPr>
        <w:t>，</w:t>
      </w:r>
      <w:r>
        <w:rPr>
          <w:rFonts w:ascii="Times New Roman" w:hAnsi="Times New Roman" w:eastAsia="方正仿宋_GBK"/>
          <w:color w:val="000000"/>
          <w:sz w:val="32"/>
          <w:szCs w:val="24"/>
        </w:rPr>
        <w:t>基准LPR调降，计息利率同幅下调；LPR上调，合同约定利率保持固</w:t>
      </w:r>
      <w:r>
        <w:rPr>
          <w:rFonts w:ascii="Times New Roman" w:hAnsi="Times New Roman" w:eastAsia="方正仿宋_GBK"/>
          <w:color w:val="auto"/>
          <w:sz w:val="32"/>
          <w:szCs w:val="24"/>
        </w:rPr>
        <w:t>定不变</w:t>
      </w:r>
      <w:r>
        <w:rPr>
          <w:rFonts w:hint="eastAsia" w:ascii="Times New Roman" w:hAnsi="Times New Roman" w:eastAsia="方正仿宋_GBK"/>
          <w:color w:val="auto"/>
          <w:sz w:val="32"/>
          <w:szCs w:val="24"/>
          <w:lang w:eastAsia="zh-CN"/>
        </w:rPr>
        <w:t>；</w:t>
      </w:r>
      <w:r>
        <w:rPr>
          <w:rFonts w:hint="eastAsia" w:ascii="Times New Roman" w:hAnsi="Times New Roman" w:eastAsia="方正仿宋_GBK"/>
          <w:color w:val="auto"/>
          <w:sz w:val="32"/>
          <w:szCs w:val="24"/>
          <w:lang w:val="en-US" w:eastAsia="zh-CN"/>
        </w:rPr>
        <w:t>贷款利率必须</w:t>
      </w:r>
      <w:r>
        <w:rPr>
          <w:rFonts w:hint="eastAsia" w:ascii="Times New Roman" w:hAnsi="Times New Roman" w:eastAsia="方正仿宋_GBK"/>
          <w:color w:val="auto"/>
          <w:sz w:val="32"/>
          <w:szCs w:val="24"/>
        </w:rPr>
        <w:t>遵守国家</w:t>
      </w:r>
      <w:r>
        <w:rPr>
          <w:rFonts w:hint="eastAsia" w:ascii="Times New Roman" w:hAnsi="Times New Roman" w:eastAsia="方正仿宋_GBK"/>
          <w:color w:val="auto"/>
          <w:sz w:val="32"/>
          <w:szCs w:val="24"/>
          <w:lang w:val="en-US" w:eastAsia="zh-CN"/>
        </w:rPr>
        <w:t>监管规定，符合监管部门的监管要求。</w:t>
      </w:r>
    </w:p>
    <w:p w14:paraId="75E2C99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2.</w:t>
      </w:r>
      <w:r>
        <w:rPr>
          <w:rFonts w:ascii="Times New Roman" w:hAnsi="Times New Roman" w:eastAsia="方正仿宋_GBK"/>
          <w:color w:val="000000"/>
          <w:sz w:val="32"/>
          <w:szCs w:val="24"/>
        </w:rPr>
        <w:t>除正常利息外，不得收取承诺费、额度管理费、贷款服务费、提前还款违约金等任何额外费用。</w:t>
      </w:r>
    </w:p>
    <w:p w14:paraId="45AEE35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3.</w:t>
      </w:r>
      <w:r>
        <w:rPr>
          <w:rFonts w:ascii="Times New Roman" w:hAnsi="Times New Roman" w:eastAsia="方正仿宋_GBK"/>
          <w:color w:val="000000"/>
          <w:sz w:val="32"/>
          <w:szCs w:val="24"/>
        </w:rPr>
        <w:t>结息方式可选择按月、按季、按年，利息按实际用款金额及占用天数计算。</w:t>
      </w:r>
    </w:p>
    <w:p w14:paraId="41C3745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3" w:firstLineChars="200"/>
        <w:textAlignment w:val="auto"/>
        <w:rPr>
          <w:rFonts w:ascii="Times New Roman" w:hAnsi="Times New Roman" w:eastAsia="方正楷体_GBK"/>
          <w:color w:val="000000"/>
          <w:sz w:val="32"/>
          <w:szCs w:val="24"/>
        </w:rPr>
      </w:pPr>
      <w:r>
        <w:rPr>
          <w:rFonts w:ascii="Times New Roman" w:hAnsi="Times New Roman" w:eastAsia="方正楷体_GBK"/>
          <w:color w:val="000000"/>
          <w:sz w:val="32"/>
          <w:szCs w:val="24"/>
        </w:rPr>
        <w:t>（三）放款效率与结算配合</w:t>
      </w:r>
    </w:p>
    <w:p w14:paraId="3D4B76B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1.</w:t>
      </w:r>
      <w:r>
        <w:rPr>
          <w:rFonts w:ascii="Times New Roman" w:hAnsi="Times New Roman" w:eastAsia="方正仿宋_GBK"/>
          <w:color w:val="000000"/>
          <w:sz w:val="32"/>
          <w:szCs w:val="24"/>
        </w:rPr>
        <w:t>授信批复后</w:t>
      </w:r>
      <w:r>
        <w:rPr>
          <w:rFonts w:hint="eastAsia" w:ascii="Times New Roman" w:hAnsi="Times New Roman" w:eastAsia="方正仿宋_GBK"/>
          <w:color w:val="000000"/>
          <w:sz w:val="32"/>
          <w:szCs w:val="24"/>
          <w:lang w:eastAsia="zh-CN"/>
        </w:rPr>
        <w:t>，</w:t>
      </w:r>
      <w:r>
        <w:rPr>
          <w:rFonts w:hint="eastAsia" w:ascii="Times New Roman" w:hAnsi="Times New Roman" w:eastAsia="方正仿宋_GBK"/>
          <w:color w:val="000000"/>
          <w:sz w:val="32"/>
          <w:szCs w:val="24"/>
          <w:lang w:val="en-US" w:eastAsia="zh-CN"/>
        </w:rPr>
        <w:t>医院根据资金需求</w:t>
      </w:r>
      <w:r>
        <w:rPr>
          <w:rFonts w:ascii="Times New Roman" w:hAnsi="Times New Roman" w:eastAsia="方正仿宋_GBK"/>
          <w:color w:val="000000"/>
          <w:sz w:val="32"/>
          <w:szCs w:val="24"/>
        </w:rPr>
        <w:t>提交用款申请及</w:t>
      </w:r>
      <w:r>
        <w:rPr>
          <w:rFonts w:hint="eastAsia" w:ascii="Times New Roman" w:hAnsi="Times New Roman" w:eastAsia="方正仿宋_GBK"/>
          <w:color w:val="000000"/>
          <w:sz w:val="32"/>
          <w:szCs w:val="24"/>
          <w:lang w:val="en-US" w:eastAsia="zh-CN"/>
        </w:rPr>
        <w:t>相关</w:t>
      </w:r>
      <w:r>
        <w:rPr>
          <w:rFonts w:ascii="Times New Roman" w:hAnsi="Times New Roman" w:eastAsia="方正仿宋_GBK"/>
          <w:color w:val="000000"/>
          <w:sz w:val="32"/>
          <w:szCs w:val="24"/>
        </w:rPr>
        <w:t>材料后</w:t>
      </w:r>
      <w:r>
        <w:rPr>
          <w:rFonts w:hint="eastAsia" w:ascii="Times New Roman" w:hAnsi="Times New Roman" w:eastAsia="方正仿宋_GBK"/>
          <w:color w:val="000000"/>
          <w:sz w:val="32"/>
          <w:szCs w:val="24"/>
          <w:lang w:val="en-US" w:eastAsia="zh-CN"/>
        </w:rPr>
        <w:t>，</w:t>
      </w:r>
      <w:r>
        <w:rPr>
          <w:rFonts w:ascii="Times New Roman" w:hAnsi="Times New Roman" w:eastAsia="方正仿宋_GBK"/>
          <w:color w:val="000000"/>
          <w:sz w:val="32"/>
          <w:szCs w:val="24"/>
        </w:rPr>
        <w:t>3个工作日内完成合同签订及放款。</w:t>
      </w:r>
    </w:p>
    <w:p w14:paraId="3C0DDE6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2.</w:t>
      </w:r>
      <w:r>
        <w:rPr>
          <w:rFonts w:ascii="Times New Roman" w:hAnsi="Times New Roman" w:eastAsia="方正仿宋_GBK"/>
          <w:color w:val="000000"/>
          <w:sz w:val="32"/>
          <w:szCs w:val="24"/>
        </w:rPr>
        <w:t>支持受托支付与自主支付相结合，配合医院完成药品采购、工资发放等日常经营支出合规支付。</w:t>
      </w:r>
    </w:p>
    <w:p w14:paraId="7C3C6CA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3.</w:t>
      </w:r>
      <w:r>
        <w:rPr>
          <w:rFonts w:ascii="Times New Roman" w:hAnsi="Times New Roman" w:eastAsia="方正仿宋_GBK"/>
          <w:color w:val="000000"/>
          <w:sz w:val="32"/>
          <w:szCs w:val="24"/>
        </w:rPr>
        <w:t>提供对公网银、移动端等查询渠道，可实时查询剩余额度、还款计划、利息明细等信息。</w:t>
      </w:r>
    </w:p>
    <w:p w14:paraId="23160D2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3" w:firstLineChars="200"/>
        <w:textAlignment w:val="auto"/>
        <w:rPr>
          <w:rFonts w:ascii="Times New Roman" w:hAnsi="Times New Roman" w:eastAsia="方正楷体_GBK"/>
          <w:color w:val="000000"/>
          <w:sz w:val="32"/>
          <w:szCs w:val="24"/>
        </w:rPr>
      </w:pPr>
      <w:r>
        <w:rPr>
          <w:rFonts w:ascii="Times New Roman" w:hAnsi="Times New Roman" w:eastAsia="方正楷体_GBK"/>
          <w:color w:val="000000"/>
          <w:sz w:val="32"/>
          <w:szCs w:val="24"/>
        </w:rPr>
        <w:t>（四）还款与贷后服务</w:t>
      </w:r>
    </w:p>
    <w:p w14:paraId="5FF58E6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1.</w:t>
      </w:r>
      <w:r>
        <w:rPr>
          <w:rFonts w:ascii="Times New Roman" w:hAnsi="Times New Roman" w:eastAsia="方正仿宋_GBK"/>
          <w:color w:val="000000"/>
          <w:sz w:val="32"/>
          <w:szCs w:val="24"/>
        </w:rPr>
        <w:t>支持到期还本、分期还本、随借随还等多种还款方式。</w:t>
      </w:r>
    </w:p>
    <w:p w14:paraId="12BFAB7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2.</w:t>
      </w:r>
      <w:r>
        <w:rPr>
          <w:rFonts w:ascii="Times New Roman" w:hAnsi="Times New Roman" w:eastAsia="方正仿宋_GBK"/>
          <w:color w:val="000000"/>
          <w:sz w:val="32"/>
          <w:szCs w:val="24"/>
        </w:rPr>
        <w:t>按需提供电子版、纸质版还款凭证、利息单、对账单。</w:t>
      </w:r>
    </w:p>
    <w:p w14:paraId="435157E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3.</w:t>
      </w:r>
      <w:r>
        <w:rPr>
          <w:rFonts w:ascii="Times New Roman" w:hAnsi="Times New Roman" w:eastAsia="方正仿宋_GBK"/>
          <w:color w:val="000000"/>
          <w:sz w:val="32"/>
          <w:szCs w:val="24"/>
        </w:rPr>
        <w:t>配备专属客户经理，定期开展贷后回访，提供资产负债诊断、财务风险提示等增值服务。</w:t>
      </w:r>
    </w:p>
    <w:p w14:paraId="2E8B24F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3" w:firstLineChars="200"/>
        <w:textAlignment w:val="auto"/>
        <w:rPr>
          <w:rFonts w:ascii="Times New Roman" w:hAnsi="Times New Roman" w:eastAsia="方正楷体_GBK"/>
          <w:color w:val="000000"/>
          <w:sz w:val="32"/>
          <w:szCs w:val="24"/>
        </w:rPr>
      </w:pPr>
      <w:r>
        <w:rPr>
          <w:rFonts w:ascii="Times New Roman" w:hAnsi="Times New Roman" w:eastAsia="方正楷体_GBK"/>
          <w:color w:val="000000"/>
          <w:sz w:val="32"/>
          <w:szCs w:val="24"/>
        </w:rPr>
        <w:t>（五）风险与合规保障</w:t>
      </w:r>
    </w:p>
    <w:p w14:paraId="16A50FD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1.</w:t>
      </w:r>
      <w:r>
        <w:rPr>
          <w:rFonts w:ascii="Times New Roman" w:hAnsi="Times New Roman" w:eastAsia="方正仿宋_GBK"/>
          <w:color w:val="000000"/>
          <w:sz w:val="32"/>
          <w:szCs w:val="24"/>
        </w:rPr>
        <w:t>严格管控贷款资金用途，严禁违规放款、协助挪用资金。</w:t>
      </w:r>
    </w:p>
    <w:p w14:paraId="5001779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2.</w:t>
      </w:r>
      <w:r>
        <w:rPr>
          <w:rFonts w:ascii="Times New Roman" w:hAnsi="Times New Roman" w:eastAsia="方正仿宋_GBK"/>
          <w:color w:val="000000"/>
          <w:sz w:val="32"/>
          <w:szCs w:val="24"/>
        </w:rPr>
        <w:t>对医院财务数据、经营信息、授信相关材料严格保密，不得向第三方泄露或挪作其他商业用途。</w:t>
      </w:r>
    </w:p>
    <w:p w14:paraId="6595BF3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3.</w:t>
      </w:r>
      <w:r>
        <w:rPr>
          <w:rFonts w:ascii="Times New Roman" w:hAnsi="Times New Roman" w:eastAsia="方正仿宋_GBK"/>
          <w:color w:val="000000"/>
          <w:sz w:val="32"/>
          <w:szCs w:val="24"/>
        </w:rPr>
        <w:t>积极配合医院、审计、纪检及行业主管部门开展监督检查，及时提供相关资料。</w:t>
      </w:r>
    </w:p>
    <w:p w14:paraId="0F70CB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 w:firstLineChars="0"/>
        <w:rPr>
          <w:rFonts w:ascii="Times New Roman" w:hAnsi="Times New Roman" w:eastAsia="黑体"/>
          <w:color w:val="000000"/>
          <w:sz w:val="32"/>
          <w:szCs w:val="24"/>
        </w:rPr>
      </w:pPr>
      <w:r>
        <w:rPr>
          <w:rFonts w:ascii="Times New Roman" w:hAnsi="Times New Roman" w:eastAsia="黑体"/>
          <w:color w:val="000000"/>
          <w:sz w:val="32"/>
          <w:szCs w:val="24"/>
        </w:rPr>
        <w:t>四、服务承诺与考核</w:t>
      </w:r>
    </w:p>
    <w:p w14:paraId="04AA04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1.</w:t>
      </w:r>
      <w:r>
        <w:rPr>
          <w:rFonts w:ascii="Times New Roman" w:hAnsi="Times New Roman" w:eastAsia="方正仿宋_GBK"/>
          <w:color w:val="000000"/>
          <w:sz w:val="32"/>
          <w:szCs w:val="24"/>
        </w:rPr>
        <w:t>投标人需承诺提供最优利率、零额外费用、高效放款、专业金融服务。</w:t>
      </w:r>
    </w:p>
    <w:p w14:paraId="34A46B5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2.</w:t>
      </w:r>
      <w:r>
        <w:rPr>
          <w:rFonts w:ascii="Times New Roman" w:hAnsi="Times New Roman" w:eastAsia="方正仿宋_GBK"/>
          <w:color w:val="000000"/>
          <w:sz w:val="32"/>
          <w:szCs w:val="24"/>
        </w:rPr>
        <w:t>贷款服务纳入医院年度供应商考核，考核指标包含服务响应速度、利率优惠力度、结算服务稳定性等。若出现严重违约或引发重大风险，医院有权提前终止授信合作，并追究违约责任。</w:t>
      </w:r>
    </w:p>
    <w:p w14:paraId="2FD6839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3.</w:t>
      </w:r>
      <w:r>
        <w:rPr>
          <w:rFonts w:ascii="Times New Roman" w:hAnsi="Times New Roman" w:eastAsia="方正仿宋_GBK"/>
          <w:color w:val="000000"/>
          <w:sz w:val="32"/>
          <w:szCs w:val="24"/>
        </w:rPr>
        <w:t>建立应急响应机制，资金流转、结算等相关问题需2小时内响应，24小时内处置完毕。</w:t>
      </w:r>
    </w:p>
    <w:p w14:paraId="7068D4D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560" w:lineRule="atLeast"/>
        <w:ind w:left="0" w:leftChars="0" w:right="0" w:rightChars="0" w:firstLine="640" w:firstLineChars="200"/>
        <w:rPr>
          <w:rFonts w:ascii="Times New Roman" w:hAnsi="Times New Roman" w:eastAsia="方正仿宋_GBK"/>
          <w:color w:val="000000"/>
          <w:sz w:val="32"/>
          <w:szCs w:val="24"/>
        </w:rPr>
      </w:pPr>
      <w:r>
        <w:rPr>
          <w:rFonts w:ascii="Times New Roman" w:hAnsi="Times New Roman" w:eastAsia="方正仿宋_GBK"/>
          <w:color w:val="000000"/>
          <w:sz w:val="32"/>
          <w:szCs w:val="24"/>
          <w:lang w:val="en-US" w:eastAsia="zh-CN"/>
        </w:rPr>
        <w:t>4.</w:t>
      </w:r>
      <w:r>
        <w:rPr>
          <w:rFonts w:ascii="Times New Roman" w:hAnsi="Times New Roman" w:eastAsia="方正仿宋_GBK"/>
          <w:color w:val="000000"/>
          <w:sz w:val="32"/>
          <w:szCs w:val="24"/>
        </w:rPr>
        <w:t>整体合作期限3年，自双方签约盖章之日起生效</w:t>
      </w:r>
      <w:r>
        <w:rPr>
          <w:rFonts w:hint="eastAsia" w:ascii="Times New Roman" w:hAnsi="Times New Roman" w:eastAsia="方正仿宋_GBK"/>
          <w:color w:val="000000"/>
          <w:sz w:val="32"/>
          <w:szCs w:val="24"/>
          <w:lang w:eastAsia="zh-CN"/>
        </w:rPr>
        <w:t>，</w:t>
      </w:r>
      <w:r>
        <w:rPr>
          <w:rFonts w:ascii="Times New Roman" w:hAnsi="Times New Roman" w:eastAsia="方正仿宋_GBK"/>
          <w:color w:val="000000"/>
          <w:sz w:val="32"/>
          <w:szCs w:val="24"/>
        </w:rPr>
        <w:t>合作期内，银行不得单方面变更授信条件、降低服务标准。</w:t>
      </w:r>
    </w:p>
    <w:p w14:paraId="19F8716C">
      <w:pPr>
        <w:spacing w:line="560" w:lineRule="atLeast"/>
        <w:ind w:firstLine="640" w:firstLineChars="200"/>
        <w:rPr>
          <w:rFonts w:ascii="Times New Roman" w:hAnsi="Times New Roman" w:eastAsia="方正仿宋_GBK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C1A7A1-DF85-446B-9A6C-2AA4CDF18E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3228D4D-3134-43B2-BA45-E2A3564E909D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5038269-B6AE-41FE-8AD6-060E1276CB4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C0323E0-FB02-4B6F-80D1-711322E85B6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F51C7"/>
    <w:rsid w:val="0F134F85"/>
    <w:rsid w:val="14236BDF"/>
    <w:rsid w:val="200E36BB"/>
    <w:rsid w:val="239F19BC"/>
    <w:rsid w:val="24765FEF"/>
    <w:rsid w:val="2BA942C6"/>
    <w:rsid w:val="308D112D"/>
    <w:rsid w:val="33296443"/>
    <w:rsid w:val="34C401D1"/>
    <w:rsid w:val="3A665F5D"/>
    <w:rsid w:val="41864200"/>
    <w:rsid w:val="4AEA4204"/>
    <w:rsid w:val="582F51C7"/>
    <w:rsid w:val="5A376F2C"/>
    <w:rsid w:val="5C8E7005"/>
    <w:rsid w:val="5F8C1A18"/>
    <w:rsid w:val="6E9E7F52"/>
    <w:rsid w:val="74122738"/>
    <w:rsid w:val="7DF3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1626</Words>
  <Characters>1667</Characters>
  <Lines>0</Lines>
  <Paragraphs>0</Paragraphs>
  <TotalTime>0</TotalTime>
  <ScaleCrop>false</ScaleCrop>
  <LinksUpToDate>false</LinksUpToDate>
  <CharactersWithSpaces>1667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2026-06-12T01:50:00Z</dcterms:created>
  <dc:creator>小桃子</dc:creator>
  <cp:lastModifiedBy>x.x.m</cp:lastModifiedBy>
  <cp:lastPrinted>2026-07-10T02:28:00Z</cp:lastPrinted>
  <dcterms:modified xsi:type="dcterms:W3CDTF">2026-07-10T07:12:49Z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4180177E9E1A4301BE1D03800EE2AE37_11</vt:lpwstr>
  </property>
  <property fmtid="{D5CDD505-2E9C-101B-9397-08002B2CF9AE}" pid="4" name="KSOTemplateDocerSaveRecord">
    <vt:lpwstr>eyJoZGlkIjoiMWNmODhiOTVlMjFhOTU0ZmE1MmE3MWYyZjgzZWIyNzMiLCJ1c2VySWQiOiIzMzUzNTk5MzYifQ==</vt:lpwstr>
  </property>
</Properties>
</file>