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5E9FE">
      <w:pPr>
        <w:pStyle w:val="2"/>
        <w:jc w:val="both"/>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附件3：</w:t>
      </w:r>
    </w:p>
    <w:p w14:paraId="34823820">
      <w:pPr>
        <w:pStyle w:val="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西双版纳州人民</w:t>
      </w:r>
      <w:r>
        <w:rPr>
          <w:rFonts w:hint="eastAsia" w:ascii="方正小标宋_GBK" w:hAnsi="方正小标宋_GBK" w:eastAsia="方正小标宋_GBK" w:cs="方正小标宋_GBK"/>
          <w:sz w:val="44"/>
          <w:szCs w:val="44"/>
        </w:rPr>
        <w:t>医院专项债券及超长期</w:t>
      </w:r>
      <w:r>
        <w:rPr>
          <w:rFonts w:hint="eastAsia" w:ascii="方正小标宋_GBK" w:hAnsi="方正小标宋_GBK" w:eastAsia="方正小标宋_GBK" w:cs="方正小标宋_GBK"/>
          <w:sz w:val="44"/>
          <w:szCs w:val="44"/>
          <w:lang w:eastAsia="zh-CN"/>
        </w:rPr>
        <w:t>特别</w:t>
      </w:r>
      <w:r>
        <w:rPr>
          <w:rFonts w:hint="eastAsia" w:ascii="方正小标宋_GBK" w:hAnsi="方正小标宋_GBK" w:eastAsia="方正小标宋_GBK" w:cs="方正小标宋_GBK"/>
          <w:sz w:val="44"/>
          <w:szCs w:val="44"/>
        </w:rPr>
        <w:t>国债配套金融服务银行遴选采购需求</w:t>
      </w:r>
    </w:p>
    <w:p w14:paraId="10ACB7C1">
      <w:pPr>
        <w:pStyle w:val="3"/>
        <w:rPr>
          <w:rFonts w:hint="eastAsia" w:ascii="方正黑体_GBK" w:hAnsi="方正黑体_GBK" w:eastAsia="方正黑体_GBK" w:cs="方正黑体_GBK"/>
        </w:rPr>
      </w:pPr>
      <w:r>
        <w:rPr>
          <w:rFonts w:hint="eastAsia" w:ascii="方正黑体_GBK" w:hAnsi="方正黑体_GBK" w:eastAsia="方正黑体_GBK" w:cs="方正黑体_GBK"/>
        </w:rPr>
        <w:t>一、项目概况</w:t>
      </w:r>
    </w:p>
    <w:p w14:paraId="737EE9C1">
      <w:pPr>
        <w:pStyle w:val="4"/>
        <w:rPr>
          <w:rFonts w:hint="eastAsia" w:ascii="方正楷体_GBK" w:hAnsi="方正楷体_GBK" w:eastAsia="方正楷体_GBK" w:cs="方正楷体_GBK"/>
        </w:rPr>
      </w:pPr>
      <w:r>
        <w:rPr>
          <w:rFonts w:hint="eastAsia" w:ascii="方正楷体_GBK" w:hAnsi="方正楷体_GBK" w:eastAsia="方正楷体_GBK" w:cs="方正楷体_GBK"/>
          <w:sz w:val="32"/>
          <w:szCs w:val="32"/>
        </w:rPr>
        <w:t>（一）项目名称</w:t>
      </w:r>
    </w:p>
    <w:p w14:paraId="6EE02051">
      <w:pPr>
        <w:pStyle w:val="16"/>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32"/>
          <w:szCs w:val="32"/>
          <w:lang w:eastAsia="zh-CN"/>
        </w:rPr>
        <w:t>西双版纳州人民</w:t>
      </w:r>
      <w:r>
        <w:rPr>
          <w:rFonts w:hint="eastAsia" w:ascii="方正仿宋_GBK" w:hAnsi="方正仿宋_GBK" w:eastAsia="方正仿宋_GBK" w:cs="方正仿宋_GBK"/>
          <w:sz w:val="32"/>
          <w:szCs w:val="32"/>
        </w:rPr>
        <w:t>医院专项债券及超长期</w:t>
      </w:r>
      <w:r>
        <w:rPr>
          <w:rFonts w:hint="eastAsia" w:ascii="方正仿宋_GBK" w:hAnsi="方正仿宋_GBK" w:eastAsia="方正仿宋_GBK" w:cs="方正仿宋_GBK"/>
          <w:sz w:val="32"/>
          <w:szCs w:val="32"/>
          <w:lang w:eastAsia="zh-CN"/>
        </w:rPr>
        <w:t>特别</w:t>
      </w:r>
      <w:r>
        <w:rPr>
          <w:rFonts w:hint="eastAsia" w:ascii="方正仿宋_GBK" w:hAnsi="方正仿宋_GBK" w:eastAsia="方正仿宋_GBK" w:cs="方正仿宋_GBK"/>
          <w:sz w:val="32"/>
          <w:szCs w:val="32"/>
        </w:rPr>
        <w:t>国债配套金融服务银行遴选项目</w:t>
      </w:r>
    </w:p>
    <w:p w14:paraId="1DA81FB0">
      <w:pPr>
        <w:pStyle w:val="4"/>
        <w:rPr>
          <w:rFonts w:hint="eastAsia" w:ascii="方正楷体_GBK" w:hAnsi="方正楷体_GBK" w:eastAsia="方正楷体_GBK" w:cs="方正楷体_GBK"/>
        </w:rPr>
      </w:pPr>
      <w:r>
        <w:rPr>
          <w:rFonts w:hint="eastAsia" w:ascii="方正楷体_GBK" w:hAnsi="方正楷体_GBK" w:eastAsia="方正楷体_GBK" w:cs="方正楷体_GBK"/>
          <w:sz w:val="32"/>
          <w:szCs w:val="32"/>
        </w:rPr>
        <w:t>（二）项目背景</w:t>
      </w:r>
    </w:p>
    <w:p w14:paraId="450869E0">
      <w:pPr>
        <w:pStyle w:val="16"/>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满足医院院区建设、医疗设备更新迭代、重点专科建设、智慧医院升级、公共卫生服务能力提升等公益性医疗项目建设资金需求，拓宽合规资金筹措渠道，拟申报发行地方政府专项债券、超长期特别国债（以下统称“专项债、超长期国债”）。现通过公开遴选方式，确定合作银行，提供专项债、超长期国债全流程项目包装、申报、发行、资金管理等一站式配套金融服务，同时将本项目获批的专项债、超长期国债资金全额存放于中标银行，保障项目资金闭环管理、高效使用。</w:t>
      </w:r>
    </w:p>
    <w:p w14:paraId="0835CF39">
      <w:pPr>
        <w:pStyle w:val="4"/>
        <w:rPr>
          <w:rFonts w:hint="eastAsia" w:ascii="方正楷体_GBK" w:hAnsi="方正楷体_GBK" w:eastAsia="方正楷体_GBK" w:cs="方正楷体_GBK"/>
        </w:rPr>
      </w:pPr>
      <w:r>
        <w:rPr>
          <w:rFonts w:hint="eastAsia" w:ascii="方正楷体_GBK" w:hAnsi="方正楷体_GBK" w:eastAsia="方正楷体_GBK" w:cs="方正楷体_GBK"/>
          <w:sz w:val="32"/>
          <w:szCs w:val="32"/>
        </w:rPr>
        <w:t>（三）服务期限</w:t>
      </w:r>
    </w:p>
    <w:p w14:paraId="5D402BCC">
      <w:pPr>
        <w:pStyle w:val="16"/>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自合同签订之日起，至本次申报的专项债、超长期国债</w:t>
      </w:r>
      <w:r>
        <w:rPr>
          <w:rFonts w:hint="eastAsia" w:ascii="方正仿宋_GBK" w:hAnsi="方正仿宋_GBK" w:eastAsia="方正仿宋_GBK" w:cs="方正仿宋_GBK"/>
          <w:sz w:val="32"/>
          <w:szCs w:val="32"/>
          <w:lang w:eastAsia="zh-CN"/>
        </w:rPr>
        <w:t>资金使用完毕，账户销户止。</w:t>
      </w:r>
    </w:p>
    <w:p w14:paraId="45BD19E2">
      <w:pPr>
        <w:pStyle w:val="3"/>
        <w:rPr>
          <w:rFonts w:hint="eastAsia" w:ascii="方正黑体_GBK" w:hAnsi="方正黑体_GBK" w:eastAsia="方正黑体_GBK" w:cs="方正黑体_GBK"/>
        </w:rPr>
      </w:pPr>
      <w:r>
        <w:rPr>
          <w:rFonts w:hint="eastAsia" w:ascii="方正黑体_GBK" w:hAnsi="方正黑体_GBK" w:eastAsia="方正黑体_GBK" w:cs="方正黑体_GBK"/>
        </w:rPr>
        <w:t>二、投标人资格要求</w:t>
      </w:r>
    </w:p>
    <w:p w14:paraId="3822984D">
      <w:pPr>
        <w:pStyle w:val="16"/>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trike/>
          <w:dstrike w:val="0"/>
          <w:sz w:val="32"/>
          <w:szCs w:val="32"/>
        </w:rPr>
      </w:pPr>
      <w:r>
        <w:rPr>
          <w:rFonts w:hint="eastAsia" w:ascii="方正楷体_GBK" w:hAnsi="方正楷体_GBK" w:eastAsia="方正楷体_GBK" w:cs="方正楷体_GBK"/>
          <w:b/>
          <w:bCs/>
          <w:sz w:val="32"/>
          <w:szCs w:val="32"/>
          <w:lang w:eastAsia="zh-CN"/>
        </w:rPr>
        <w:t>（一）</w:t>
      </w:r>
      <w:r>
        <w:rPr>
          <w:rFonts w:hint="eastAsia" w:ascii="方正楷体_GBK" w:hAnsi="方正楷体_GBK" w:eastAsia="方正楷体_GBK" w:cs="方正楷体_GBK"/>
          <w:b/>
          <w:bCs/>
          <w:sz w:val="32"/>
          <w:szCs w:val="32"/>
        </w:rPr>
        <w:t>主体资质</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trike w:val="0"/>
          <w:dstrike w:val="0"/>
          <w:sz w:val="32"/>
          <w:szCs w:val="32"/>
        </w:rPr>
        <w:t>在中华人民共和国境内依法设立的国有商业银行、股份制商业银行、政策性银行、城市商业银行，</w:t>
      </w:r>
      <w:r>
        <w:rPr>
          <w:rFonts w:hint="eastAsia" w:ascii="方正仿宋_GBK" w:hAnsi="方正仿宋_GBK" w:eastAsia="方正仿宋_GBK" w:cs="方正仿宋_GBK"/>
          <w:strike w:val="0"/>
          <w:dstrike w:val="0"/>
          <w:sz w:val="32"/>
          <w:szCs w:val="32"/>
          <w:lang w:val="en-US" w:eastAsia="zh-CN"/>
        </w:rPr>
        <w:t>合法经营</w:t>
      </w:r>
      <w:r>
        <w:rPr>
          <w:rFonts w:hint="eastAsia" w:ascii="方正仿宋_GBK" w:hAnsi="方正仿宋_GBK" w:eastAsia="方正仿宋_GBK" w:cs="方正仿宋_GBK"/>
          <w:sz w:val="32"/>
          <w:szCs w:val="32"/>
        </w:rPr>
        <w:t>持有有效的《金融许可证》《营业执照》，具备独立法人资格或取得</w:t>
      </w:r>
      <w:r>
        <w:rPr>
          <w:rFonts w:hint="eastAsia" w:ascii="方正仿宋_GBK" w:hAnsi="方正仿宋_GBK" w:eastAsia="方正仿宋_GBK" w:cs="方正仿宋_GBK"/>
          <w:sz w:val="32"/>
          <w:szCs w:val="32"/>
          <w:lang w:eastAsia="zh-CN"/>
        </w:rPr>
        <w:t>州级</w:t>
      </w:r>
      <w:r>
        <w:rPr>
          <w:rFonts w:hint="eastAsia" w:ascii="方正仿宋_GBK" w:hAnsi="方正仿宋_GBK" w:eastAsia="方正仿宋_GBK" w:cs="方正仿宋_GBK"/>
          <w:sz w:val="32"/>
          <w:szCs w:val="32"/>
        </w:rPr>
        <w:t>分行唯一授权书</w:t>
      </w:r>
      <w:r>
        <w:rPr>
          <w:rFonts w:hint="eastAsia" w:ascii="方正仿宋_GBK" w:hAnsi="方正仿宋_GBK" w:eastAsia="方正仿宋_GBK" w:cs="方正仿宋_GBK"/>
          <w:sz w:val="32"/>
          <w:szCs w:val="32"/>
          <w:lang w:eastAsia="zh-CN"/>
        </w:rPr>
        <w:t>。</w:t>
      </w:r>
    </w:p>
    <w:p w14:paraId="0A887080">
      <w:pPr>
        <w:pStyle w:val="16"/>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业务资质</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熟悉医疗行业项目申报、财政资金监管、债券发行全流程政策要求。</w:t>
      </w:r>
    </w:p>
    <w:p w14:paraId="5E8CF466">
      <w:pPr>
        <w:pStyle w:val="16"/>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三</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信誉要求</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近3年在金融监管、财政、税务等部门无重大违法违规记录，未被列入失信被执行人、重大税收违法失信主体、政府采购严重违法失信行为记录名单，银行主体信用评级良好。</w:t>
      </w:r>
    </w:p>
    <w:p w14:paraId="53015707">
      <w:pPr>
        <w:pStyle w:val="3"/>
        <w:rPr>
          <w:rFonts w:hint="eastAsia" w:ascii="方正黑体_GBK" w:hAnsi="方正黑体_GBK" w:eastAsia="方正黑体_GBK" w:cs="方正黑体_GBK"/>
        </w:rPr>
      </w:pPr>
      <w:r>
        <w:rPr>
          <w:rFonts w:hint="eastAsia" w:ascii="方正黑体_GBK" w:hAnsi="方正黑体_GBK" w:eastAsia="方正黑体_GBK" w:cs="方正黑体_GBK"/>
        </w:rPr>
        <w:t>三、核心服务内容</w:t>
      </w:r>
    </w:p>
    <w:p w14:paraId="0B6CC312">
      <w:pPr>
        <w:pStyle w:val="4"/>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（一）专项债、超长期国债全流程包装服务</w:t>
      </w:r>
    </w:p>
    <w:p w14:paraId="0C0DDCF2">
      <w:pPr>
        <w:pStyle w:val="16"/>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项目前期辅导：精准解读专项债、超长期国债最新政策导向、申报范围、额度管理、资金使用要求，协助医院筛选符合投向的医疗项目，指导完成项目立项、可行性研究、初步设计、项目入库等前期合规手续。</w:t>
      </w:r>
    </w:p>
    <w:p w14:paraId="09CC7BB8">
      <w:pPr>
        <w:pStyle w:val="16"/>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全流程材料编制：全权负责编制、审核、完善项目申报全流程资料，包括但不限于项目实施方案、财务评价报告书、法律意见书（一案两书）、</w:t>
      </w:r>
      <w:r>
        <w:rPr>
          <w:rFonts w:hint="eastAsia" w:ascii="方正仿宋_GBK" w:hAnsi="方正仿宋_GBK" w:eastAsia="方正仿宋_GBK" w:cs="方正仿宋_GBK"/>
          <w:b w:val="0"/>
          <w:bCs w:val="0"/>
          <w:sz w:val="32"/>
          <w:szCs w:val="32"/>
          <w:lang w:eastAsia="zh-CN"/>
        </w:rPr>
        <w:t>项目可行性研究报告、</w:t>
      </w:r>
      <w:r>
        <w:rPr>
          <w:rFonts w:hint="eastAsia" w:ascii="方正仿宋_GBK" w:hAnsi="方正仿宋_GBK" w:eastAsia="方正仿宋_GBK" w:cs="方正仿宋_GBK"/>
          <w:b w:val="0"/>
          <w:bCs w:val="0"/>
          <w:sz w:val="32"/>
          <w:szCs w:val="32"/>
        </w:rPr>
        <w:t>资金申请报告、绩效评价报告、信息披露文件、监管报备资料等，确保资料符合财政、发改、卫健等部门审核要求，收益测算、偿债能力、资金闭环等核心内容合规达标。</w:t>
      </w:r>
    </w:p>
    <w:p w14:paraId="7CE7E9D0">
      <w:pPr>
        <w:pStyle w:val="16"/>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申报对接协调：全程对接财政、发改、卫健等主管部门，完成项目申报、系统填报、资料报送、答辩辅导、额度争取、审批跟进等工作，全程跟进项目审核进度，及时解决申报过程中的问题，全力保障项目申报成功。</w:t>
      </w:r>
    </w:p>
    <w:p w14:paraId="30CEE122">
      <w:pPr>
        <w:pStyle w:val="4"/>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（二）资金存管与配套管理服务</w:t>
      </w:r>
    </w:p>
    <w:p w14:paraId="13AE7292">
      <w:pPr>
        <w:pStyle w:val="16"/>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资金专户管理：为医院开立专项债、超长期国债资金专用存款账户，实现项目资金专户存储、专款专用、分账核算、封闭运行，严格按照财政监管要求及医院资金使用计划，提供资金归集、划转、支付、清算等服务。</w:t>
      </w:r>
    </w:p>
    <w:p w14:paraId="572BB8C5">
      <w:pPr>
        <w:pStyle w:val="16"/>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资金动态监管：建立项目资金使用台账，实时监控资金流向，配合医院及财政、审计、卫健部门开展资金监管、专项检查、审计核查，全程保障资金使用合规、安全，杜绝资金挤占、挪用、截留。</w:t>
      </w:r>
    </w:p>
    <w:p w14:paraId="69178796">
      <w:pPr>
        <w:pStyle w:val="3"/>
        <w:rPr>
          <w:rFonts w:hint="eastAsia" w:ascii="方正黑体_GBK" w:hAnsi="方正黑体_GBK" w:eastAsia="方正黑体_GBK" w:cs="方正黑体_GBK"/>
        </w:rPr>
      </w:pPr>
      <w:r>
        <w:rPr>
          <w:rFonts w:hint="eastAsia" w:ascii="方正黑体_GBK" w:hAnsi="方正黑体_GBK" w:eastAsia="方正黑体_GBK" w:cs="方正黑体_GBK"/>
        </w:rPr>
        <w:t>四、核心商务条款</w:t>
      </w:r>
    </w:p>
    <w:p w14:paraId="1B5B5A7A">
      <w:pPr>
        <w:pStyle w:val="16"/>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Fonts w:hint="eastAsia" w:ascii="方正仿宋_GB2312" w:hAnsi="方正仿宋_GB2312" w:eastAsia="方正仿宋_GB2312" w:cs="方正仿宋_GB2312"/>
          <w:b w:val="0"/>
          <w:bCs w:val="0"/>
          <w:sz w:val="32"/>
          <w:szCs w:val="32"/>
        </w:rPr>
      </w:pPr>
      <w:r>
        <w:rPr>
          <w:rFonts w:hint="eastAsia" w:ascii="方正楷体_GBK" w:hAnsi="方正楷体_GBK" w:eastAsia="方正楷体_GBK" w:cs="方正楷体_GBK"/>
          <w:b/>
          <w:bCs/>
          <w:sz w:val="32"/>
          <w:szCs w:val="32"/>
          <w:lang w:eastAsia="zh-CN"/>
        </w:rPr>
        <w:t>（一）</w:t>
      </w:r>
      <w:r>
        <w:rPr>
          <w:rFonts w:hint="eastAsia" w:ascii="方正楷体_GBK" w:hAnsi="方正楷体_GBK" w:eastAsia="方正楷体_GBK" w:cs="方正楷体_GBK"/>
          <w:b/>
          <w:bCs/>
          <w:sz w:val="32"/>
          <w:szCs w:val="32"/>
        </w:rPr>
        <w:t>费用承担约定：</w:t>
      </w:r>
      <w:r>
        <w:rPr>
          <w:rFonts w:hint="eastAsia" w:ascii="方正仿宋_GBK" w:hAnsi="方正仿宋_GBK" w:eastAsia="方正仿宋_GBK" w:cs="方正仿宋_GBK"/>
          <w:sz w:val="32"/>
          <w:szCs w:val="32"/>
        </w:rPr>
        <w:t>本项目专项债券、超长期国债全流程项目包装相关全部费用（包括但不限于方案编制、资料审核、第三方咨询、申报协调、发行承销等所有费用），</w:t>
      </w:r>
      <w:r>
        <w:rPr>
          <w:rFonts w:hint="eastAsia" w:ascii="方正仿宋_GBK" w:hAnsi="方正仿宋_GBK" w:eastAsia="方正仿宋_GBK" w:cs="方正仿宋_GBK"/>
          <w:b w:val="0"/>
          <w:bCs w:val="0"/>
          <w:sz w:val="32"/>
          <w:szCs w:val="32"/>
        </w:rPr>
        <w:t>均由中标银行全额承担，医院无需支付任何项目包装相关费用。</w:t>
      </w:r>
    </w:p>
    <w:p w14:paraId="6C633328">
      <w:pPr>
        <w:pStyle w:val="16"/>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lang w:eastAsia="zh-CN"/>
        </w:rPr>
        <w:t>（二）</w:t>
      </w:r>
      <w:r>
        <w:rPr>
          <w:rFonts w:hint="eastAsia" w:ascii="方正楷体_GBK" w:hAnsi="方正楷体_GBK" w:eastAsia="方正楷体_GBK" w:cs="方正楷体_GBK"/>
          <w:b/>
          <w:bCs/>
          <w:sz w:val="32"/>
          <w:szCs w:val="32"/>
        </w:rPr>
        <w:t>资金存放约定</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医院本次申报获批的专项债、超长期国债全部资金，全额存放于中标银行开立的专用账户，资金存放严格遵循财政资金管理、公立医院资金监管相关规定，专款专用。</w:t>
      </w:r>
    </w:p>
    <w:p w14:paraId="3C7D13B0">
      <w:pPr>
        <w:pStyle w:val="16"/>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lang w:eastAsia="zh-CN"/>
        </w:rPr>
        <w:t>（三）</w:t>
      </w:r>
      <w:r>
        <w:rPr>
          <w:rFonts w:hint="eastAsia" w:ascii="方正楷体_GBK" w:hAnsi="方正楷体_GBK" w:eastAsia="方正楷体_GBK" w:cs="方正楷体_GBK"/>
          <w:b/>
          <w:bCs/>
          <w:sz w:val="32"/>
          <w:szCs w:val="32"/>
        </w:rPr>
        <w:t>服务承</w:t>
      </w:r>
      <w:r>
        <w:rPr>
          <w:rFonts w:hint="eastAsia" w:ascii="方正楷体_GBK" w:hAnsi="方正楷体_GBK" w:eastAsia="方正楷体_GBK" w:cs="方正楷体_GBK"/>
          <w:b/>
          <w:bCs/>
          <w:sz w:val="32"/>
          <w:szCs w:val="32"/>
          <w:lang w:val="en-US" w:eastAsia="zh-CN"/>
        </w:rPr>
        <w:t>诺</w:t>
      </w:r>
      <w:r>
        <w:rPr>
          <w:rFonts w:hint="eastAsia" w:ascii="方正楷体_GBK" w:hAnsi="方正楷体_GBK" w:eastAsia="方正楷体_GBK" w:cs="方正楷体_GBK"/>
          <w:b/>
          <w:bCs/>
          <w:sz w:val="32"/>
          <w:szCs w:val="32"/>
        </w:rPr>
        <w:t>要求</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中标银行需承诺提供专属服务团队、固定项目经理，全程驻场/上门服务，及时响应医院各项需求，严格履行服务约定，保障项目申报、发行、资金管理全流程高效推进。</w:t>
      </w:r>
    </w:p>
    <w:p w14:paraId="709F29C4">
      <w:pPr>
        <w:pStyle w:val="16"/>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bCs/>
          <w:sz w:val="32"/>
          <w:szCs w:val="32"/>
          <w:lang w:eastAsia="zh-CN"/>
        </w:rPr>
        <w:t>（四）</w:t>
      </w:r>
      <w:r>
        <w:rPr>
          <w:rFonts w:hint="eastAsia" w:ascii="方正楷体_GBK" w:hAnsi="方正楷体_GBK" w:eastAsia="方正楷体_GBK" w:cs="方正楷体_GBK"/>
          <w:b/>
          <w:bCs/>
          <w:sz w:val="32"/>
          <w:szCs w:val="32"/>
        </w:rPr>
        <w:t>履约保障要求</w:t>
      </w:r>
      <w:r>
        <w:rPr>
          <w:rFonts w:hint="eastAsia" w:ascii="方正楷体_GBK" w:hAnsi="方正楷体_GBK" w:eastAsia="方正楷体_GBK" w:cs="方正楷体_GBK"/>
          <w:sz w:val="32"/>
          <w:szCs w:val="32"/>
        </w:rPr>
        <w:t>：</w:t>
      </w:r>
      <w:r>
        <w:rPr>
          <w:rFonts w:hint="eastAsia" w:ascii="方正仿宋_GBK" w:hAnsi="方正仿宋_GBK" w:eastAsia="方正仿宋_GBK" w:cs="方正仿宋_GBK"/>
          <w:sz w:val="32"/>
          <w:szCs w:val="32"/>
        </w:rPr>
        <w:t>中标银行需严格遵守国家法律法规、财政金融监管政策及医院资金管理规定，若因银行服务不到位、操作不合规导致项目申报失败、资金违规、监管处罚等问题，由中标银行承担全部责任及相应损失。</w:t>
      </w:r>
    </w:p>
    <w:p w14:paraId="20C031DE">
      <w:pPr>
        <w:pStyle w:val="3"/>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五</w:t>
      </w:r>
      <w:r>
        <w:rPr>
          <w:rFonts w:hint="eastAsia" w:ascii="方正黑体_GBK" w:hAnsi="方正黑体_GBK" w:eastAsia="方正黑体_GBK" w:cs="方正黑体_GBK"/>
        </w:rPr>
        <w:t>、合规与风险管控要求</w:t>
      </w:r>
    </w:p>
    <w:p w14:paraId="44D4BB98">
      <w:pPr>
        <w:pStyle w:val="16"/>
        <w:keepNext w:val="0"/>
        <w:keepLines w:val="0"/>
        <w:pageBreakBefore w:val="0"/>
        <w:widowControl/>
        <w:numPr>
          <w:ilvl w:val="0"/>
          <w:numId w:val="0"/>
        </w:numPr>
        <w:kinsoku/>
        <w:wordWrap/>
        <w:overflowPunct/>
        <w:topLinePunct w:val="0"/>
        <w:autoSpaceDE/>
        <w:autoSpaceDN/>
        <w:bidi w:val="0"/>
        <w:adjustRightInd/>
        <w:snapToGrid/>
        <w:ind w:left="0" w:leftChars="0"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color w:val="auto"/>
          <w:sz w:val="32"/>
          <w:szCs w:val="32"/>
          <w:lang w:eastAsia="zh-CN"/>
        </w:rPr>
        <w:t>（一）</w:t>
      </w:r>
      <w:r>
        <w:rPr>
          <w:rFonts w:hint="eastAsia" w:ascii="方正仿宋_GBK" w:hAnsi="方正仿宋_GBK" w:eastAsia="方正仿宋_GBK" w:cs="方正仿宋_GBK"/>
          <w:sz w:val="32"/>
          <w:szCs w:val="32"/>
        </w:rPr>
        <w:t>本项目遴选全程遵循公立医院政府采购、财政资金管理、金融服务合作相关法律法规，坚持公开、公平、公正、择优原则；</w:t>
      </w:r>
    </w:p>
    <w:p w14:paraId="72E60726">
      <w:pPr>
        <w:pStyle w:val="16"/>
        <w:keepNext w:val="0"/>
        <w:keepLines w:val="0"/>
        <w:pageBreakBefore w:val="0"/>
        <w:widowControl/>
        <w:numPr>
          <w:ilvl w:val="0"/>
          <w:numId w:val="0"/>
        </w:numPr>
        <w:kinsoku/>
        <w:wordWrap/>
        <w:overflowPunct/>
        <w:topLinePunct w:val="0"/>
        <w:autoSpaceDE/>
        <w:autoSpaceDN/>
        <w:bidi w:val="0"/>
        <w:adjustRightInd/>
        <w:snapToGrid/>
        <w:ind w:left="0" w:leftChars="0"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sz w:val="32"/>
          <w:szCs w:val="32"/>
          <w:lang w:eastAsia="zh-CN"/>
        </w:rPr>
        <w:t>（二）</w:t>
      </w:r>
      <w:r>
        <w:rPr>
          <w:rFonts w:hint="eastAsia" w:ascii="方正仿宋_GBK" w:hAnsi="方正仿宋_GBK" w:eastAsia="方正仿宋_GBK" w:cs="方正仿宋_GBK"/>
          <w:sz w:val="32"/>
          <w:szCs w:val="32"/>
        </w:rPr>
        <w:t>因国家政策、财政计划、监管要求或不可抗力等因素导致债券发行失败或资金须由指定银行专户保管，本合同自动终止，双方互不承担违约责任。</w:t>
      </w:r>
    </w:p>
    <w:p w14:paraId="75E1C9D1">
      <w:pPr>
        <w:pStyle w:val="16"/>
        <w:keepNext w:val="0"/>
        <w:keepLines w:val="0"/>
        <w:pageBreakBefore w:val="0"/>
        <w:widowControl/>
        <w:numPr>
          <w:ilvl w:val="0"/>
          <w:numId w:val="0"/>
        </w:numPr>
        <w:kinsoku/>
        <w:wordWrap/>
        <w:overflowPunct/>
        <w:topLinePunct w:val="0"/>
        <w:autoSpaceDE/>
        <w:autoSpaceDN/>
        <w:bidi w:val="0"/>
        <w:adjustRightInd/>
        <w:snapToGrid/>
        <w:ind w:left="0" w:leftChars="0" w:firstLine="643"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bCs/>
          <w:color w:val="auto"/>
          <w:sz w:val="32"/>
          <w:szCs w:val="32"/>
          <w:lang w:eastAsia="zh-CN"/>
        </w:rPr>
        <w:t>（三）</w:t>
      </w:r>
      <w:r>
        <w:rPr>
          <w:rFonts w:hint="eastAsia" w:ascii="方正仿宋_GBK" w:hAnsi="方正仿宋_GBK" w:eastAsia="方正仿宋_GBK" w:cs="方正仿宋_GBK"/>
          <w:sz w:val="32"/>
          <w:szCs w:val="32"/>
        </w:rPr>
        <w:t>资金存放、使用全程接受财政、审计、卫健及医院纪检部门监督，严格执行专款专用、闭环管理；</w:t>
      </w:r>
    </w:p>
    <w:p w14:paraId="1C2E3C6F">
      <w:pPr>
        <w:pStyle w:val="16"/>
        <w:keepNext w:val="0"/>
        <w:keepLines w:val="0"/>
        <w:pageBreakBefore w:val="0"/>
        <w:widowControl/>
        <w:numPr>
          <w:ilvl w:val="0"/>
          <w:numId w:val="0"/>
        </w:numPr>
        <w:kinsoku/>
        <w:wordWrap/>
        <w:overflowPunct/>
        <w:topLinePunct w:val="0"/>
        <w:autoSpaceDE/>
        <w:autoSpaceDN/>
        <w:bidi w:val="0"/>
        <w:adjustRightInd/>
        <w:snapToGrid/>
        <w:ind w:left="0" w:leftChars="0" w:firstLine="643"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b/>
          <w:bCs/>
          <w:color w:val="auto"/>
          <w:sz w:val="32"/>
          <w:szCs w:val="32"/>
          <w:lang w:eastAsia="zh-CN"/>
        </w:rPr>
        <w:t>（四）</w:t>
      </w:r>
      <w:r>
        <w:rPr>
          <w:rFonts w:hint="eastAsia" w:ascii="方正仿宋_GBK" w:hAnsi="方正仿宋_GBK" w:eastAsia="方正仿宋_GBK" w:cs="方正仿宋_GBK"/>
          <w:sz w:val="32"/>
          <w:szCs w:val="32"/>
        </w:rPr>
        <w:t>投标人需承诺不存在不正当竞争、利益输送等违规行为，一经发现，直接取消投标/中标资格，并追究相应责任</w:t>
      </w:r>
      <w:r>
        <w:rPr>
          <w:rFonts w:hint="eastAsia" w:ascii="方正仿宋_GBK" w:hAnsi="方正仿宋_GBK" w:eastAsia="方正仿宋_GBK" w:cs="方正仿宋_GBK"/>
          <w:sz w:val="32"/>
          <w:szCs w:val="32"/>
          <w:lang w:eastAsia="zh-CN"/>
        </w:rPr>
        <w:t>。</w:t>
      </w:r>
      <w:bookmarkStart w:id="0" w:name="_GoBack"/>
      <w:bookmarkEnd w:id="0"/>
    </w:p>
    <w:p w14:paraId="6A841374">
      <w:pPr>
        <w:pStyle w:val="16"/>
        <w:rPr>
          <w:highlight w:val="yellow"/>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360EAA7-3DBB-41C7-9B26-BED652836772}"/>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embedRegular r:id="rId2" w:fontKey="{2FA59544-CF01-4131-B92E-E8C0FAB424E2}"/>
  </w:font>
  <w:font w:name="方正小标宋_GBK">
    <w:panose1 w:val="03000509000000000000"/>
    <w:charset w:val="86"/>
    <w:family w:val="auto"/>
    <w:pitch w:val="default"/>
    <w:sig w:usb0="00000001" w:usb1="080E0000" w:usb2="00000000" w:usb3="00000000" w:csb0="00040000" w:csb1="00000000"/>
    <w:embedRegular r:id="rId3" w:fontKey="{703CD680-5724-4243-8388-C995BBFCBAD6}"/>
  </w:font>
  <w:font w:name="方正黑体_GBK">
    <w:panose1 w:val="03000509000000000000"/>
    <w:charset w:val="86"/>
    <w:family w:val="auto"/>
    <w:pitch w:val="default"/>
    <w:sig w:usb0="00000001" w:usb1="080E0000" w:usb2="00000000" w:usb3="00000000" w:csb0="00040000" w:csb1="00000000"/>
    <w:embedRegular r:id="rId4" w:fontKey="{0FAC0CCF-4CC1-47E2-A7EE-69610B8042A5}"/>
  </w:font>
  <w:font w:name="方正仿宋_GBK">
    <w:panose1 w:val="03000509000000000000"/>
    <w:charset w:val="86"/>
    <w:family w:val="auto"/>
    <w:pitch w:val="default"/>
    <w:sig w:usb0="00000001" w:usb1="080E0000" w:usb2="00000000" w:usb3="00000000" w:csb0="00040000" w:csb1="00000000"/>
    <w:embedRegular r:id="rId5" w:fontKey="{9239F048-3C8B-46C0-B752-6180A152B1BC}"/>
  </w:font>
  <w:font w:name="方正仿宋_GB2312">
    <w:altName w:val="仿宋"/>
    <w:panose1 w:val="02000000000000000000"/>
    <w:charset w:val="86"/>
    <w:family w:val="auto"/>
    <w:pitch w:val="default"/>
    <w:sig w:usb0="00000000" w:usb1="00000000" w:usb2="00000012" w:usb3="00000000" w:csb0="00040001" w:csb1="00000000"/>
    <w:embedRegular r:id="rId6" w:fontKey="{CD2A88D8-43CC-4DD8-907B-E6C7A41D2B2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ompat>
    <w:useFELayout/>
    <w:compatSetting w:name="compatibilityMode" w:uri="http://schemas.microsoft.com/office/word" w:val="15"/>
  </w:compat>
  <w:rsids>
    <w:rsidRoot w:val="00000000"/>
    <w:rsid w:val="07435415"/>
    <w:rsid w:val="1FD177A4"/>
    <w:rsid w:val="28F627AC"/>
    <w:rsid w:val="34EA1A30"/>
    <w:rsid w:val="3A11590B"/>
    <w:rsid w:val="3D38166A"/>
    <w:rsid w:val="41633942"/>
    <w:rsid w:val="50811B32"/>
    <w:rsid w:val="5C936557"/>
    <w:rsid w:val="63D908F8"/>
    <w:rsid w:val="6F8D4A26"/>
    <w:rsid w:val="703852F0"/>
    <w:rsid w:val="76B949B4"/>
    <w:rsid w:val="7B977C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2320</Words>
  <Characters>2333</Characters>
  <TotalTime>60</TotalTime>
  <ScaleCrop>false</ScaleCrop>
  <LinksUpToDate>false</LinksUpToDate>
  <CharactersWithSpaces>2333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2026-04-17T02:00:00Z</dcterms:created>
  <dc:creator>Un-named</dc:creator>
  <cp:lastModifiedBy>x.x.m</cp:lastModifiedBy>
  <dcterms:modified xsi:type="dcterms:W3CDTF">2026-04-26T14:58:39Z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eyJoZGlkIjoiZTNhY2JlNzZjNTQ3YjBiYTQ4NWE0MjQzYjRkYzQ2N2UiLCJ1c2VySWQiOiIzMzUzNTk5MzYifQ==</vt:lpwstr>
  </property>
  <property fmtid="{D5CDD505-2E9C-101B-9397-08002B2CF9AE}" pid="3" name="KSOProductBuildVer">
    <vt:lpwstr>2052-12.1.0.25865</vt:lpwstr>
  </property>
  <property fmtid="{D5CDD505-2E9C-101B-9397-08002B2CF9AE}" pid="4" name="ICV">
    <vt:lpwstr>61579B844492425CAA4DD9DA95CEE135_13</vt:lpwstr>
  </property>
</Properties>
</file>