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C090E">
      <w:pPr>
        <w:pStyle w:val="2"/>
        <w:keepNext/>
        <w:keepLines/>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b w:val="0"/>
          <w:bCs/>
          <w:sz w:val="32"/>
          <w:szCs w:val="32"/>
          <w:lang w:val="en-US" w:eastAsia="zh-CN"/>
        </w:rPr>
      </w:pPr>
      <w:r>
        <w:rPr>
          <w:rFonts w:hint="eastAsia" w:ascii="方正楷体_GBK" w:hAnsi="方正楷体_GBK" w:eastAsia="方正楷体_GBK" w:cs="方正楷体_GBK"/>
          <w:b w:val="0"/>
          <w:bCs/>
          <w:sz w:val="32"/>
          <w:szCs w:val="32"/>
          <w:lang w:val="en-US" w:eastAsia="zh-CN"/>
        </w:rPr>
        <w:t>附件4：</w:t>
      </w:r>
    </w:p>
    <w:p w14:paraId="37AA6606">
      <w:pPr>
        <w:pStyle w:val="2"/>
        <w:keepNext/>
        <w:keepLines/>
        <w:pageBreakBefore w:val="0"/>
        <w:widowControl w:val="0"/>
        <w:kinsoku/>
        <w:wordWrap/>
        <w:overflowPunct/>
        <w:topLinePunct w:val="0"/>
        <w:autoSpaceDE/>
        <w:autoSpaceDN/>
        <w:bidi w:val="0"/>
        <w:adjustRightInd/>
        <w:snapToGrid/>
        <w:spacing w:line="560" w:lineRule="exact"/>
        <w:jc w:val="center"/>
        <w:textAlignment w:val="auto"/>
      </w:pPr>
      <w:r>
        <w:rPr>
          <w:rFonts w:hint="default"/>
        </w:rPr>
        <w:t>党费专用账户银行服务采购评分标准</w:t>
      </w:r>
    </w:p>
    <w:p w14:paraId="4042234C">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4"/>
          <w:szCs w:val="24"/>
        </w:rPr>
      </w:pPr>
      <w:r>
        <w:rPr>
          <w:rStyle w:val="12"/>
          <w:rFonts w:hint="default"/>
        </w:rPr>
        <w:t>一、 总则</w:t>
      </w:r>
      <w:r>
        <w:rPr>
          <w:rStyle w:val="12"/>
          <w:rFonts w:hint="default"/>
        </w:rPr>
        <w:br w:type="textWrapping"/>
      </w:r>
      <w:r>
        <w:rPr>
          <w:rFonts w:hint="default" w:ascii="Segoe UI" w:hAnsi="Segoe UI" w:eastAsia="Segoe UI" w:cs="Segoe UI"/>
          <w:i w:val="0"/>
          <w:iCs w:val="0"/>
          <w:caps w:val="0"/>
          <w:color w:val="0F1115"/>
          <w:spacing w:val="0"/>
          <w:sz w:val="24"/>
          <w:szCs w:val="24"/>
          <w:shd w:val="clear" w:fill="FFFFFF"/>
        </w:rPr>
        <w:t>本评分标准采用百分制，从</w:t>
      </w:r>
      <w:r>
        <w:rPr>
          <w:rStyle w:val="9"/>
          <w:rFonts w:hint="default" w:ascii="Segoe UI" w:hAnsi="Segoe UI" w:eastAsia="Segoe UI" w:cs="Segoe UI"/>
          <w:b/>
          <w:bCs/>
          <w:i w:val="0"/>
          <w:iCs w:val="0"/>
          <w:caps w:val="0"/>
          <w:color w:val="0F1115"/>
          <w:spacing w:val="0"/>
          <w:sz w:val="24"/>
          <w:szCs w:val="24"/>
          <w:shd w:val="clear" w:fill="FFFFFF"/>
        </w:rPr>
        <w:t>技术方案、商务资质、服务水平、价格因素</w:t>
      </w:r>
      <w:r>
        <w:rPr>
          <w:rFonts w:hint="default" w:ascii="Segoe UI" w:hAnsi="Segoe UI" w:eastAsia="Segoe UI" w:cs="Segoe UI"/>
          <w:i w:val="0"/>
          <w:iCs w:val="0"/>
          <w:caps w:val="0"/>
          <w:color w:val="0F1115"/>
          <w:spacing w:val="0"/>
          <w:sz w:val="24"/>
          <w:szCs w:val="24"/>
          <w:shd w:val="clear" w:fill="FFFFFF"/>
        </w:rPr>
        <w:t>四个维度对投标银行进行综合评定。评审委员会将依据此标准独立打分，按总分从高到低排序，推荐中标候选人。</w:t>
      </w:r>
    </w:p>
    <w:p w14:paraId="322C7241">
      <w:pPr>
        <w:pStyle w:val="3"/>
        <w:bidi w:val="0"/>
        <w:rPr>
          <w:rFonts w:hint="default"/>
        </w:rPr>
      </w:pPr>
      <w:r>
        <w:rPr>
          <w:rFonts w:hint="default"/>
        </w:rPr>
        <w:t>二、 评分细则（总分100分）</w:t>
      </w:r>
    </w:p>
    <w:p w14:paraId="65622756">
      <w:pPr>
        <w:pStyle w:val="5"/>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b/>
          <w:bCs/>
          <w:caps w:val="0"/>
          <w:color w:val="0F1115"/>
          <w:spacing w:val="0"/>
          <w:sz w:val="24"/>
          <w:szCs w:val="24"/>
        </w:rPr>
      </w:pPr>
      <w:r>
        <w:rPr>
          <w:rStyle w:val="9"/>
          <w:rFonts w:hint="default" w:ascii="Segoe UI" w:hAnsi="Segoe UI" w:eastAsia="Segoe UI" w:cs="Segoe UI"/>
          <w:b/>
          <w:caps w:val="0"/>
          <w:color w:val="0F1115"/>
          <w:spacing w:val="0"/>
          <w:sz w:val="24"/>
          <w:szCs w:val="24"/>
          <w:shd w:val="clear" w:fill="FFFFFF"/>
        </w:rPr>
        <w:t>（一） 技术方案与系统功能 (40分)</w:t>
      </w:r>
    </w:p>
    <w:tbl>
      <w:tblPr>
        <w:tblStyle w:val="7"/>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6"/>
        <w:gridCol w:w="2196"/>
        <w:gridCol w:w="1313"/>
        <w:gridCol w:w="3875"/>
      </w:tblGrid>
      <w:tr w14:paraId="31781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3F4E0">
            <w:pPr>
              <w:keepNext w:val="0"/>
              <w:keepLines w:val="0"/>
              <w:widowControl/>
              <w:suppressLineNumbers w:val="0"/>
              <w:jc w:val="left"/>
              <w:textAlignment w:val="center"/>
              <w:rPr>
                <w:rFonts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55CEA">
            <w:pPr>
              <w:keepNext w:val="0"/>
              <w:keepLines w:val="0"/>
              <w:widowControl/>
              <w:suppressLineNumbers w:val="0"/>
              <w:jc w:val="left"/>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评分项</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87342">
            <w:pPr>
              <w:keepNext w:val="0"/>
              <w:keepLines w:val="0"/>
              <w:widowControl/>
              <w:suppressLineNumbers w:val="0"/>
              <w:jc w:val="left"/>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分值</w:t>
            </w:r>
          </w:p>
        </w:tc>
        <w:tc>
          <w:tcPr>
            <w:tcW w:w="3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FFF68">
            <w:pPr>
              <w:keepNext w:val="0"/>
              <w:keepLines w:val="0"/>
              <w:widowControl/>
              <w:suppressLineNumbers w:val="0"/>
              <w:jc w:val="left"/>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具体要求和评分标准</w:t>
            </w:r>
          </w:p>
        </w:tc>
      </w:tr>
      <w:tr w14:paraId="4241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8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1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线上党费收缴系统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5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31FBB">
            <w:pPr>
              <w:keepNext w:val="0"/>
              <w:keepLines w:val="0"/>
              <w:widowControl/>
              <w:suppressLineNumbers w:val="0"/>
              <w:jc w:val="left"/>
              <w:textAlignment w:val="center"/>
              <w:rPr>
                <w:rFonts w:hint="eastAsia" w:ascii="宋体" w:hAnsi="宋体" w:eastAsia="宋体" w:cs="宋体"/>
                <w:i w:val="0"/>
                <w:iCs w:val="0"/>
                <w:color w:val="0F1115"/>
                <w:sz w:val="23"/>
                <w:szCs w:val="23"/>
                <w:u w:val="none"/>
              </w:rPr>
            </w:pPr>
            <w:r>
              <w:rPr>
                <w:rFonts w:hint="eastAsia" w:ascii="宋体" w:hAnsi="宋体" w:eastAsia="宋体" w:cs="宋体"/>
                <w:i w:val="0"/>
                <w:iCs w:val="0"/>
                <w:color w:val="0F1115"/>
                <w:kern w:val="0"/>
                <w:sz w:val="23"/>
                <w:szCs w:val="23"/>
                <w:u w:val="none"/>
                <w:lang w:val="en-US" w:eastAsia="zh-CN" w:bidi="ar"/>
              </w:rPr>
              <w:t>优</w:t>
            </w:r>
            <w:r>
              <w:rPr>
                <w:rStyle w:val="10"/>
                <w:lang w:val="en-US" w:eastAsia="zh-CN" w:bidi="ar"/>
              </w:rPr>
              <w:t xml:space="preserve"> (12-15</w:t>
            </w:r>
            <w:r>
              <w:rPr>
                <w:rStyle w:val="11"/>
                <w:lang w:val="en-US" w:eastAsia="zh-CN" w:bidi="ar"/>
              </w:rPr>
              <w:t>分</w:t>
            </w:r>
            <w:r>
              <w:rPr>
                <w:rStyle w:val="10"/>
                <w:lang w:val="en-US" w:eastAsia="zh-CN" w:bidi="ar"/>
              </w:rPr>
              <w:t>)</w:t>
            </w:r>
            <w:r>
              <w:rPr>
                <w:rStyle w:val="11"/>
                <w:lang w:val="en-US" w:eastAsia="zh-CN" w:bidi="ar"/>
              </w:rPr>
              <w:t>：系统功能完全满足需求，界面友好，演示流畅。支持多级组织架构、多渠道支付、智能提醒、实时对账与多维度统计，并提供与医院</w:t>
            </w:r>
            <w:r>
              <w:rPr>
                <w:rStyle w:val="10"/>
                <w:lang w:val="en-US" w:eastAsia="zh-CN" w:bidi="ar"/>
              </w:rPr>
              <w:t>OA/</w:t>
            </w:r>
            <w:r>
              <w:rPr>
                <w:rStyle w:val="11"/>
                <w:lang w:val="en-US" w:eastAsia="zh-CN" w:bidi="ar"/>
              </w:rPr>
              <w:t>党务系统对接的成熟</w:t>
            </w:r>
            <w:r>
              <w:rPr>
                <w:rStyle w:val="10"/>
                <w:lang w:val="en-US" w:eastAsia="zh-CN" w:bidi="ar"/>
              </w:rPr>
              <w:t>API</w:t>
            </w:r>
            <w:r>
              <w:rPr>
                <w:rStyle w:val="11"/>
                <w:lang w:val="en-US" w:eastAsia="zh-CN" w:bidi="ar"/>
              </w:rPr>
              <w:t>方案。</w:t>
            </w:r>
            <w:r>
              <w:rPr>
                <w:rStyle w:val="10"/>
                <w:lang w:val="en-US" w:eastAsia="zh-CN" w:bidi="ar"/>
              </w:rPr>
              <w:br w:type="textWrapping"/>
            </w:r>
            <w:r>
              <w:rPr>
                <w:rStyle w:val="11"/>
                <w:lang w:val="en-US" w:eastAsia="zh-CN" w:bidi="ar"/>
              </w:rPr>
              <w:t>良</w:t>
            </w:r>
            <w:r>
              <w:rPr>
                <w:rStyle w:val="10"/>
                <w:lang w:val="en-US" w:eastAsia="zh-CN" w:bidi="ar"/>
              </w:rPr>
              <w:t xml:space="preserve"> (8-11</w:t>
            </w:r>
            <w:r>
              <w:rPr>
                <w:rStyle w:val="11"/>
                <w:lang w:val="en-US" w:eastAsia="zh-CN" w:bidi="ar"/>
              </w:rPr>
              <w:t>分</w:t>
            </w:r>
            <w:r>
              <w:rPr>
                <w:rStyle w:val="10"/>
                <w:lang w:val="en-US" w:eastAsia="zh-CN" w:bidi="ar"/>
              </w:rPr>
              <w:t>)</w:t>
            </w:r>
            <w:r>
              <w:rPr>
                <w:rStyle w:val="11"/>
                <w:lang w:val="en-US" w:eastAsia="zh-CN" w:bidi="ar"/>
              </w:rPr>
              <w:t>：系统核心功能满足，但部分辅助功能（如催缴、统计维度）有欠缺。</w:t>
            </w:r>
            <w:r>
              <w:rPr>
                <w:rStyle w:val="10"/>
                <w:lang w:val="en-US" w:eastAsia="zh-CN" w:bidi="ar"/>
              </w:rPr>
              <w:t>API</w:t>
            </w:r>
            <w:r>
              <w:rPr>
                <w:rStyle w:val="11"/>
                <w:lang w:val="en-US" w:eastAsia="zh-CN" w:bidi="ar"/>
              </w:rPr>
              <w:t>对接方案为初步构想。</w:t>
            </w:r>
            <w:r>
              <w:rPr>
                <w:rStyle w:val="10"/>
                <w:lang w:val="en-US" w:eastAsia="zh-CN" w:bidi="ar"/>
              </w:rPr>
              <w:br w:type="textWrapping"/>
            </w:r>
            <w:r>
              <w:rPr>
                <w:rStyle w:val="11"/>
                <w:lang w:val="en-US" w:eastAsia="zh-CN" w:bidi="ar"/>
              </w:rPr>
              <w:t>中</w:t>
            </w:r>
            <w:r>
              <w:rPr>
                <w:rStyle w:val="10"/>
                <w:lang w:val="en-US" w:eastAsia="zh-CN" w:bidi="ar"/>
              </w:rPr>
              <w:t xml:space="preserve"> (4-7</w:t>
            </w:r>
            <w:r>
              <w:rPr>
                <w:rStyle w:val="11"/>
                <w:lang w:val="en-US" w:eastAsia="zh-CN" w:bidi="ar"/>
              </w:rPr>
              <w:t>分</w:t>
            </w:r>
            <w:r>
              <w:rPr>
                <w:rStyle w:val="10"/>
                <w:lang w:val="en-US" w:eastAsia="zh-CN" w:bidi="ar"/>
              </w:rPr>
              <w:t>)</w:t>
            </w:r>
            <w:r>
              <w:rPr>
                <w:rStyle w:val="11"/>
                <w:lang w:val="en-US" w:eastAsia="zh-CN" w:bidi="ar"/>
              </w:rPr>
              <w:t>：仅有基础缴费功能，缺乏组织管理或详细对账功能。</w:t>
            </w:r>
            <w:r>
              <w:rPr>
                <w:rStyle w:val="10"/>
                <w:lang w:val="en-US" w:eastAsia="zh-CN" w:bidi="ar"/>
              </w:rPr>
              <w:br w:type="textWrapping"/>
            </w:r>
            <w:r>
              <w:rPr>
                <w:rStyle w:val="11"/>
                <w:lang w:val="en-US" w:eastAsia="zh-CN" w:bidi="ar"/>
              </w:rPr>
              <w:t>差</w:t>
            </w:r>
            <w:r>
              <w:rPr>
                <w:rStyle w:val="10"/>
                <w:lang w:val="en-US" w:eastAsia="zh-CN" w:bidi="ar"/>
              </w:rPr>
              <w:t xml:space="preserve"> (0-3</w:t>
            </w:r>
            <w:r>
              <w:rPr>
                <w:rStyle w:val="11"/>
                <w:lang w:val="en-US" w:eastAsia="zh-CN" w:bidi="ar"/>
              </w:rPr>
              <w:t>分</w:t>
            </w:r>
            <w:r>
              <w:rPr>
                <w:rStyle w:val="10"/>
                <w:lang w:val="en-US" w:eastAsia="zh-CN" w:bidi="ar"/>
              </w:rPr>
              <w:t>)</w:t>
            </w:r>
            <w:r>
              <w:rPr>
                <w:rStyle w:val="11"/>
                <w:lang w:val="en-US" w:eastAsia="zh-CN" w:bidi="ar"/>
              </w:rPr>
              <w:t>：系统功能简陋，无法满足基本线上收缴需求。</w:t>
            </w:r>
          </w:p>
        </w:tc>
      </w:tr>
      <w:tr w14:paraId="5FFF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887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7CE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19BE">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B8ED9">
            <w:pPr>
              <w:rPr>
                <w:rFonts w:hint="eastAsia" w:ascii="宋体" w:hAnsi="宋体" w:eastAsia="宋体" w:cs="宋体"/>
                <w:i w:val="0"/>
                <w:iCs w:val="0"/>
                <w:color w:val="0F1115"/>
                <w:sz w:val="23"/>
                <w:szCs w:val="23"/>
                <w:u w:val="none"/>
              </w:rPr>
            </w:pPr>
          </w:p>
        </w:tc>
      </w:tr>
      <w:tr w14:paraId="18AE7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5E9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4F8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9B14">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FA7D1">
            <w:pPr>
              <w:rPr>
                <w:rFonts w:hint="eastAsia" w:ascii="宋体" w:hAnsi="宋体" w:eastAsia="宋体" w:cs="宋体"/>
                <w:i w:val="0"/>
                <w:iCs w:val="0"/>
                <w:color w:val="0F1115"/>
                <w:sz w:val="23"/>
                <w:szCs w:val="23"/>
                <w:u w:val="none"/>
              </w:rPr>
            </w:pPr>
          </w:p>
        </w:tc>
      </w:tr>
      <w:tr w14:paraId="58552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156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AE4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8ACA">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369C6">
            <w:pPr>
              <w:rPr>
                <w:rFonts w:hint="eastAsia" w:ascii="宋体" w:hAnsi="宋体" w:eastAsia="宋体" w:cs="宋体"/>
                <w:i w:val="0"/>
                <w:iCs w:val="0"/>
                <w:color w:val="0F1115"/>
                <w:sz w:val="23"/>
                <w:szCs w:val="23"/>
                <w:u w:val="none"/>
              </w:rPr>
            </w:pPr>
          </w:p>
        </w:tc>
      </w:tr>
      <w:tr w14:paraId="6D480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7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9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系统安全与稳定性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4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41C5C">
            <w:pPr>
              <w:keepNext w:val="0"/>
              <w:keepLines w:val="0"/>
              <w:widowControl/>
              <w:suppressLineNumbers w:val="0"/>
              <w:jc w:val="left"/>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优 (8-10分)：提供详尽的数据安全、网络安全、资金安全保障方案（如加密传输、灾备预案等），承诺99.9%以上的系统可用性，并有权威机构安全认证。</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良 (6-7分)：有较完整的安全方案和稳定性承诺，但细节不够完善。</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中 (4-5分)：安全方案较为笼统，无明确的稳定性量化指标。</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差 (0-3分)：安全与稳定性保障措施薄弱。</w:t>
            </w:r>
          </w:p>
        </w:tc>
      </w:tr>
      <w:tr w14:paraId="32C3F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3AE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A35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9FB3">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C649">
            <w:pPr>
              <w:rPr>
                <w:rFonts w:hint="default" w:ascii="Segoe UI" w:hAnsi="Segoe UI" w:eastAsia="Segoe UI" w:cs="Segoe UI"/>
                <w:i w:val="0"/>
                <w:iCs w:val="0"/>
                <w:color w:val="0F1115"/>
                <w:sz w:val="22"/>
                <w:szCs w:val="22"/>
                <w:u w:val="none"/>
              </w:rPr>
            </w:pPr>
          </w:p>
        </w:tc>
      </w:tr>
      <w:tr w14:paraId="42CAC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187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BA7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96F2">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75232">
            <w:pPr>
              <w:rPr>
                <w:rFonts w:hint="default" w:ascii="Segoe UI" w:hAnsi="Segoe UI" w:eastAsia="Segoe UI" w:cs="Segoe UI"/>
                <w:i w:val="0"/>
                <w:iCs w:val="0"/>
                <w:color w:val="0F1115"/>
                <w:sz w:val="22"/>
                <w:szCs w:val="22"/>
                <w:u w:val="none"/>
              </w:rPr>
            </w:pPr>
          </w:p>
        </w:tc>
      </w:tr>
      <w:tr w14:paraId="5474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808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1E5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9FD5">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28219">
            <w:pPr>
              <w:rPr>
                <w:rFonts w:hint="default" w:ascii="Segoe UI" w:hAnsi="Segoe UI" w:eastAsia="Segoe UI" w:cs="Segoe UI"/>
                <w:i w:val="0"/>
                <w:iCs w:val="0"/>
                <w:color w:val="0F1115"/>
                <w:sz w:val="22"/>
                <w:szCs w:val="22"/>
                <w:u w:val="none"/>
              </w:rPr>
            </w:pPr>
          </w:p>
        </w:tc>
      </w:tr>
      <w:tr w14:paraId="43A64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1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9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系统演示与用户体验</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4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27A7D0">
            <w:pPr>
              <w:keepNext w:val="0"/>
              <w:keepLines w:val="0"/>
              <w:widowControl/>
              <w:suppressLineNumbers w:val="0"/>
              <w:jc w:val="left"/>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优 (7-8分)：现场演示效果佳，操作逻辑清晰，针对医院党委的管理场景和党员缴费场景有优化，用户体验卓越。</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良 (5-6分)：演示顺利，操作基本顺畅，但用户体验一般。</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中 (3-4分)：演示过程出现卡顿，操作复杂。</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差 (0-2分)：无法进行有效演示或体验很差。</w:t>
            </w:r>
          </w:p>
        </w:tc>
      </w:tr>
      <w:tr w14:paraId="00727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7D7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4A0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315D">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B94AB">
            <w:pPr>
              <w:rPr>
                <w:rFonts w:hint="default" w:ascii="Segoe UI" w:hAnsi="Segoe UI" w:eastAsia="Segoe UI" w:cs="Segoe UI"/>
                <w:i w:val="0"/>
                <w:iCs w:val="0"/>
                <w:color w:val="0F1115"/>
                <w:sz w:val="22"/>
                <w:szCs w:val="22"/>
                <w:u w:val="none"/>
              </w:rPr>
            </w:pPr>
          </w:p>
        </w:tc>
      </w:tr>
      <w:tr w14:paraId="31E8C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D54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C09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853A">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54D142">
            <w:pPr>
              <w:rPr>
                <w:rFonts w:hint="default" w:ascii="Segoe UI" w:hAnsi="Segoe UI" w:eastAsia="Segoe UI" w:cs="Segoe UI"/>
                <w:i w:val="0"/>
                <w:iCs w:val="0"/>
                <w:color w:val="0F1115"/>
                <w:sz w:val="22"/>
                <w:szCs w:val="22"/>
                <w:u w:val="none"/>
              </w:rPr>
            </w:pPr>
          </w:p>
        </w:tc>
      </w:tr>
      <w:tr w14:paraId="3E7F2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B57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BD3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1331">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31D67A">
            <w:pPr>
              <w:rPr>
                <w:rFonts w:hint="default" w:ascii="Segoe UI" w:hAnsi="Segoe UI" w:eastAsia="Segoe UI" w:cs="Segoe UI"/>
                <w:i w:val="0"/>
                <w:iCs w:val="0"/>
                <w:color w:val="0F1115"/>
                <w:sz w:val="22"/>
                <w:szCs w:val="22"/>
                <w:u w:val="none"/>
              </w:rPr>
            </w:pPr>
          </w:p>
        </w:tc>
      </w:tr>
      <w:tr w14:paraId="5407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6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8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应急预案与数据迁移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E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842E4B">
            <w:pPr>
              <w:keepNext w:val="0"/>
              <w:keepLines w:val="0"/>
              <w:widowControl/>
              <w:suppressLineNumbers w:val="0"/>
              <w:jc w:val="left"/>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优 (6-7分)：提供完善的系统故障、对账差错的应急处理预案，并承诺提供免费、完整的数据迁移服务（如有）。</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良 (4-5分)：有应急预案但不够具体，数据迁移方案可行。</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中 (2-3分)：应急预案简单，数据迁移需额外收费或方案不明确。</w:t>
            </w:r>
            <w:r>
              <w:rPr>
                <w:rFonts w:hint="default" w:ascii="Segoe UI" w:hAnsi="Segoe UI" w:eastAsia="Segoe UI" w:cs="Segoe UI"/>
                <w:i w:val="0"/>
                <w:iCs w:val="0"/>
                <w:color w:val="0F1115"/>
                <w:kern w:val="0"/>
                <w:sz w:val="22"/>
                <w:szCs w:val="22"/>
                <w:u w:val="none"/>
                <w:lang w:val="en-US" w:eastAsia="zh-CN" w:bidi="ar"/>
              </w:rPr>
              <w:br w:type="textWrapping"/>
            </w:r>
            <w:r>
              <w:rPr>
                <w:rFonts w:hint="default" w:ascii="Segoe UI" w:hAnsi="Segoe UI" w:eastAsia="Segoe UI" w:cs="Segoe UI"/>
                <w:i w:val="0"/>
                <w:iCs w:val="0"/>
                <w:color w:val="0F1115"/>
                <w:kern w:val="0"/>
                <w:sz w:val="22"/>
                <w:szCs w:val="22"/>
                <w:u w:val="none"/>
                <w:lang w:val="en-US" w:eastAsia="zh-CN" w:bidi="ar"/>
              </w:rPr>
              <w:t>差 (0-1分)：无相关预案。</w:t>
            </w:r>
          </w:p>
        </w:tc>
      </w:tr>
      <w:tr w14:paraId="58FFC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21B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5E2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2EE0">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40FE00">
            <w:pPr>
              <w:rPr>
                <w:rFonts w:hint="default" w:ascii="Segoe UI" w:hAnsi="Segoe UI" w:eastAsia="Segoe UI" w:cs="Segoe UI"/>
                <w:i w:val="0"/>
                <w:iCs w:val="0"/>
                <w:color w:val="0F1115"/>
                <w:sz w:val="22"/>
                <w:szCs w:val="22"/>
                <w:u w:val="none"/>
              </w:rPr>
            </w:pPr>
          </w:p>
        </w:tc>
      </w:tr>
      <w:tr w14:paraId="0520B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F5D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16C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5C5D">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6243BC">
            <w:pPr>
              <w:rPr>
                <w:rFonts w:hint="default" w:ascii="Segoe UI" w:hAnsi="Segoe UI" w:eastAsia="Segoe UI" w:cs="Segoe UI"/>
                <w:i w:val="0"/>
                <w:iCs w:val="0"/>
                <w:color w:val="0F1115"/>
                <w:sz w:val="22"/>
                <w:szCs w:val="22"/>
                <w:u w:val="none"/>
              </w:rPr>
            </w:pPr>
          </w:p>
        </w:tc>
      </w:tr>
      <w:tr w14:paraId="01831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468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A47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FF1E">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9812AC">
            <w:pPr>
              <w:rPr>
                <w:rFonts w:hint="default" w:ascii="Segoe UI" w:hAnsi="Segoe UI" w:eastAsia="Segoe UI" w:cs="Segoe UI"/>
                <w:i w:val="0"/>
                <w:iCs w:val="0"/>
                <w:color w:val="0F1115"/>
                <w:sz w:val="22"/>
                <w:szCs w:val="22"/>
                <w:u w:val="none"/>
              </w:rPr>
            </w:pPr>
          </w:p>
        </w:tc>
      </w:tr>
    </w:tbl>
    <w:p w14:paraId="00FD27A2">
      <w:pPr>
        <w:pStyle w:val="5"/>
        <w:keepNext w:val="0"/>
        <w:keepLines w:val="0"/>
        <w:widowControl/>
        <w:numPr>
          <w:ilvl w:val="0"/>
          <w:numId w:val="1"/>
        </w:numPr>
        <w:suppressLineNumbers w:val="0"/>
        <w:shd w:val="clear" w:fill="FFFFFF"/>
        <w:spacing w:before="240" w:beforeAutospacing="0" w:after="240" w:afterAutospacing="0" w:line="420" w:lineRule="atLeast"/>
        <w:ind w:left="0" w:right="0" w:firstLine="0"/>
        <w:rPr>
          <w:rStyle w:val="9"/>
          <w:rFonts w:hint="default" w:ascii="Segoe UI" w:hAnsi="Segoe UI" w:eastAsia="Segoe UI" w:cs="Segoe UI"/>
          <w:b/>
          <w:caps w:val="0"/>
          <w:color w:val="0F1115"/>
          <w:spacing w:val="0"/>
          <w:sz w:val="24"/>
          <w:szCs w:val="24"/>
          <w:shd w:val="clear" w:fill="FFFFFF"/>
        </w:rPr>
      </w:pPr>
      <w:r>
        <w:rPr>
          <w:rStyle w:val="9"/>
          <w:rFonts w:hint="default" w:ascii="Segoe UI" w:hAnsi="Segoe UI" w:eastAsia="Segoe UI" w:cs="Segoe UI"/>
          <w:b/>
          <w:caps w:val="0"/>
          <w:color w:val="0F1115"/>
          <w:spacing w:val="0"/>
          <w:sz w:val="24"/>
          <w:szCs w:val="24"/>
          <w:shd w:val="clear" w:fill="FFFFFF"/>
        </w:rPr>
        <w:t>商务资质与综合实力 (25分)</w:t>
      </w:r>
    </w:p>
    <w:tbl>
      <w:tblPr>
        <w:tblStyle w:val="7"/>
        <w:tblW w:w="84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2192"/>
        <w:gridCol w:w="1296"/>
        <w:gridCol w:w="3890"/>
      </w:tblGrid>
      <w:tr w14:paraId="253C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D7428">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序号</w:t>
            </w:r>
          </w:p>
        </w:tc>
        <w:tc>
          <w:tcPr>
            <w:tcW w:w="21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AFE15">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评分项</w:t>
            </w:r>
          </w:p>
        </w:tc>
        <w:tc>
          <w:tcPr>
            <w:tcW w:w="12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DF50D">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分值</w:t>
            </w:r>
          </w:p>
        </w:tc>
        <w:tc>
          <w:tcPr>
            <w:tcW w:w="3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A9766">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具体要求和评分标准</w:t>
            </w:r>
          </w:p>
        </w:tc>
      </w:tr>
      <w:tr w14:paraId="5DA4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20ECE">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2.1</w:t>
            </w:r>
          </w:p>
        </w:tc>
        <w:tc>
          <w:tcPr>
            <w:tcW w:w="21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84943">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银行综合实力与信誉</w:t>
            </w:r>
          </w:p>
        </w:tc>
        <w:tc>
          <w:tcPr>
            <w:tcW w:w="12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1C127">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8</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5040">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根据上年度年报或权威评级，资产规模大、资本充足率高、国际国内信用评级高的得6-8分；综合实力较强的得4-5分；一般的得1-3分。</w:t>
            </w:r>
          </w:p>
        </w:tc>
      </w:tr>
      <w:tr w14:paraId="70F37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ABE4B3">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2.2</w:t>
            </w:r>
          </w:p>
        </w:tc>
        <w:tc>
          <w:tcPr>
            <w:tcW w:w="219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1E4DF3">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本地化服务能力</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D6EBF8">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7</w:t>
            </w:r>
          </w:p>
        </w:tc>
        <w:tc>
          <w:tcPr>
            <w:tcW w:w="3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F0BC3">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优 (6-7分)：在景洪市区拥有多个网点，且承诺提供上门服务，本地服务团队配备齐全。</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良 (4-5分)：在景洪有网点，能提供基本本地服务。</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中 (2-3分)：网点较少或位于郊区，本地服务能力有限。</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差 (0-1分)：无本地网点。</w:t>
            </w:r>
          </w:p>
        </w:tc>
      </w:tr>
      <w:tr w14:paraId="1F2CB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322A9A">
            <w:pPr>
              <w:jc w:val="center"/>
              <w:rPr>
                <w:rFonts w:hint="eastAsia" w:ascii="宋体" w:hAnsi="宋体" w:eastAsia="宋体" w:cs="宋体"/>
                <w:i w:val="0"/>
                <w:iCs w:val="0"/>
                <w:color w:val="0F1115"/>
                <w:sz w:val="22"/>
                <w:szCs w:val="22"/>
                <w:u w:val="none"/>
              </w:rPr>
            </w:pPr>
          </w:p>
        </w:tc>
        <w:tc>
          <w:tcPr>
            <w:tcW w:w="21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5109D4">
            <w:pPr>
              <w:jc w:val="center"/>
              <w:rPr>
                <w:rFonts w:hint="eastAsia" w:ascii="宋体" w:hAnsi="宋体" w:eastAsia="宋体" w:cs="宋体"/>
                <w:i w:val="0"/>
                <w:iCs w:val="0"/>
                <w:color w:val="0F1115"/>
                <w:sz w:val="22"/>
                <w:szCs w:val="22"/>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06B684">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38E5C">
            <w:pPr>
              <w:rPr>
                <w:rFonts w:hint="eastAsia" w:ascii="宋体" w:hAnsi="宋体" w:eastAsia="宋体" w:cs="宋体"/>
                <w:i w:val="0"/>
                <w:iCs w:val="0"/>
                <w:color w:val="0F1115"/>
                <w:sz w:val="22"/>
                <w:szCs w:val="22"/>
                <w:u w:val="none"/>
              </w:rPr>
            </w:pPr>
          </w:p>
        </w:tc>
      </w:tr>
      <w:tr w14:paraId="4B3D3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517886">
            <w:pPr>
              <w:jc w:val="center"/>
              <w:rPr>
                <w:rFonts w:hint="eastAsia" w:ascii="宋体" w:hAnsi="宋体" w:eastAsia="宋体" w:cs="宋体"/>
                <w:i w:val="0"/>
                <w:iCs w:val="0"/>
                <w:color w:val="0F1115"/>
                <w:sz w:val="22"/>
                <w:szCs w:val="22"/>
                <w:u w:val="none"/>
              </w:rPr>
            </w:pPr>
          </w:p>
        </w:tc>
        <w:tc>
          <w:tcPr>
            <w:tcW w:w="21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1BA850">
            <w:pPr>
              <w:jc w:val="center"/>
              <w:rPr>
                <w:rFonts w:hint="eastAsia" w:ascii="宋体" w:hAnsi="宋体" w:eastAsia="宋体" w:cs="宋体"/>
                <w:i w:val="0"/>
                <w:iCs w:val="0"/>
                <w:color w:val="0F1115"/>
                <w:sz w:val="22"/>
                <w:szCs w:val="22"/>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EDF924">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5813C">
            <w:pPr>
              <w:rPr>
                <w:rFonts w:hint="eastAsia" w:ascii="宋体" w:hAnsi="宋体" w:eastAsia="宋体" w:cs="宋体"/>
                <w:i w:val="0"/>
                <w:iCs w:val="0"/>
                <w:color w:val="0F1115"/>
                <w:sz w:val="22"/>
                <w:szCs w:val="22"/>
                <w:u w:val="none"/>
              </w:rPr>
            </w:pPr>
          </w:p>
        </w:tc>
      </w:tr>
      <w:tr w14:paraId="0C04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7C9ECC">
            <w:pPr>
              <w:jc w:val="center"/>
              <w:rPr>
                <w:rFonts w:hint="eastAsia" w:ascii="宋体" w:hAnsi="宋体" w:eastAsia="宋体" w:cs="宋体"/>
                <w:i w:val="0"/>
                <w:iCs w:val="0"/>
                <w:color w:val="0F1115"/>
                <w:sz w:val="22"/>
                <w:szCs w:val="22"/>
                <w:u w:val="none"/>
              </w:rPr>
            </w:pPr>
          </w:p>
        </w:tc>
        <w:tc>
          <w:tcPr>
            <w:tcW w:w="219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91FBE5">
            <w:pPr>
              <w:jc w:val="center"/>
              <w:rPr>
                <w:rFonts w:hint="eastAsia" w:ascii="宋体" w:hAnsi="宋体" w:eastAsia="宋体" w:cs="宋体"/>
                <w:i w:val="0"/>
                <w:iCs w:val="0"/>
                <w:color w:val="0F1115"/>
                <w:sz w:val="22"/>
                <w:szCs w:val="22"/>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DD301E">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C97A5">
            <w:pPr>
              <w:rPr>
                <w:rFonts w:hint="eastAsia" w:ascii="宋体" w:hAnsi="宋体" w:eastAsia="宋体" w:cs="宋体"/>
                <w:i w:val="0"/>
                <w:iCs w:val="0"/>
                <w:color w:val="0F1115"/>
                <w:sz w:val="22"/>
                <w:szCs w:val="22"/>
                <w:u w:val="none"/>
              </w:rPr>
            </w:pPr>
          </w:p>
        </w:tc>
      </w:tr>
      <w:tr w14:paraId="642C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4726">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2.3</w:t>
            </w:r>
          </w:p>
        </w:tc>
        <w:tc>
          <w:tcPr>
            <w:tcW w:w="21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3D8FD">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同类项目成功案例</w:t>
            </w:r>
          </w:p>
        </w:tc>
        <w:tc>
          <w:tcPr>
            <w:tcW w:w="12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16C32">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10</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3F1C">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提供1个及以上为党政机关、事业单位或大型国企成功部署党费管理系统或类似对公金融服务案例的，每个得5分，本项满分10分。（须提供合同关键页或用户证明盖章件）</w:t>
            </w:r>
          </w:p>
        </w:tc>
      </w:tr>
    </w:tbl>
    <w:p w14:paraId="53107F20">
      <w:pPr>
        <w:pStyle w:val="5"/>
        <w:keepNext w:val="0"/>
        <w:keepLines w:val="0"/>
        <w:widowControl/>
        <w:suppressLineNumbers w:val="0"/>
        <w:shd w:val="clear" w:fill="FFFFFF"/>
        <w:spacing w:before="240" w:beforeAutospacing="0" w:after="240" w:afterAutospacing="0" w:line="420" w:lineRule="atLeast"/>
        <w:ind w:left="0" w:right="0" w:firstLine="0"/>
        <w:rPr>
          <w:rFonts w:ascii="Segoe UI" w:hAnsi="Segoe UI" w:eastAsia="Segoe UI" w:cs="Segoe UI"/>
          <w:b/>
          <w:bCs/>
          <w:caps w:val="0"/>
          <w:color w:val="0F1115"/>
          <w:spacing w:val="0"/>
          <w:sz w:val="24"/>
          <w:szCs w:val="24"/>
        </w:rPr>
      </w:pPr>
      <w:r>
        <w:rPr>
          <w:rStyle w:val="9"/>
          <w:rFonts w:hint="default" w:ascii="Segoe UI" w:hAnsi="Segoe UI" w:eastAsia="Segoe UI" w:cs="Segoe UI"/>
          <w:b/>
          <w:caps w:val="0"/>
          <w:color w:val="0F1115"/>
          <w:spacing w:val="0"/>
          <w:sz w:val="24"/>
          <w:szCs w:val="24"/>
          <w:shd w:val="clear" w:fill="FFFFFF"/>
        </w:rPr>
        <w:t>（三） 服务水平与支持保障 (20分)</w:t>
      </w:r>
    </w:p>
    <w:tbl>
      <w:tblPr>
        <w:tblStyle w:val="7"/>
        <w:tblW w:w="84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2190"/>
        <w:gridCol w:w="1297"/>
        <w:gridCol w:w="3890"/>
      </w:tblGrid>
      <w:tr w14:paraId="5920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2C7E1">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序号</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8F237">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评分项</w:t>
            </w:r>
          </w:p>
        </w:tc>
        <w:tc>
          <w:tcPr>
            <w:tcW w:w="12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30AFF">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分值</w:t>
            </w:r>
          </w:p>
        </w:tc>
        <w:tc>
          <w:tcPr>
            <w:tcW w:w="3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072F9">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具体要求和评分标准</w:t>
            </w:r>
          </w:p>
        </w:tc>
      </w:tr>
      <w:tr w14:paraId="1ED57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E68FD">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3.1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1ED7C">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服务团队与响应机制</w:t>
            </w:r>
          </w:p>
        </w:tc>
        <w:tc>
          <w:tcPr>
            <w:tcW w:w="1297" w:type="dxa"/>
            <w:tcBorders>
              <w:top w:val="nil"/>
              <w:left w:val="nil"/>
              <w:bottom w:val="nil"/>
              <w:right w:val="nil"/>
            </w:tcBorders>
            <w:shd w:val="clear" w:color="auto" w:fill="auto"/>
            <w:noWrap/>
            <w:vAlign w:val="center"/>
          </w:tcPr>
          <w:p w14:paraId="0A3AA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889E">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优 (8-10分)：配置专属“一对一”客户经理及备用经理，明确服务团队人员资质和经验，提供7x24小时技术支持，并承诺2小时内响应、4小时内解决关键问题的SLA（服务等级协议）。</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良 (6-7分)：有专属经理和响应机制，但SLA承诺不够具体。</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中 (4-5分)：服务团队为共享模式，响应时效一般。</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差 (0-3分)：无明确的服务团队和响应机制。</w:t>
            </w:r>
          </w:p>
        </w:tc>
      </w:tr>
      <w:tr w14:paraId="407C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9AE902">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3.2</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B9E4E1">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培训与售后支持方案</w:t>
            </w:r>
          </w:p>
        </w:tc>
        <w:tc>
          <w:tcPr>
            <w:tcW w:w="129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B73B9E">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6</w:t>
            </w:r>
          </w:p>
        </w:tc>
        <w:tc>
          <w:tcPr>
            <w:tcW w:w="3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82804">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优 (5-6分)：提供详尽的初期集中培训、操作手册及后续不定期回训计划，支持方式多样（电话、远程、上门）。</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良 (4分)：有培训计划，但内容较简单。</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中 (2-3分)：培训支持薄弱。</w:t>
            </w:r>
            <w:r>
              <w:rPr>
                <w:rFonts w:hint="eastAsia" w:ascii="宋体" w:hAnsi="宋体" w:eastAsia="宋体" w:cs="宋体"/>
                <w:i w:val="0"/>
                <w:iCs w:val="0"/>
                <w:color w:val="0F1115"/>
                <w:kern w:val="0"/>
                <w:sz w:val="22"/>
                <w:szCs w:val="22"/>
                <w:u w:val="none"/>
                <w:lang w:val="en-US" w:eastAsia="zh-CN" w:bidi="ar"/>
              </w:rPr>
              <w:br w:type="textWrapping"/>
            </w:r>
            <w:r>
              <w:rPr>
                <w:rFonts w:hint="eastAsia" w:ascii="宋体" w:hAnsi="宋体" w:eastAsia="宋体" w:cs="宋体"/>
                <w:i w:val="0"/>
                <w:iCs w:val="0"/>
                <w:color w:val="0F1115"/>
                <w:kern w:val="0"/>
                <w:sz w:val="22"/>
                <w:szCs w:val="22"/>
                <w:u w:val="none"/>
                <w:lang w:val="en-US" w:eastAsia="zh-CN" w:bidi="ar"/>
              </w:rPr>
              <w:t>差 (0-1分)：无正式培训方案。</w:t>
            </w:r>
          </w:p>
        </w:tc>
      </w:tr>
      <w:tr w14:paraId="0428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1F9625">
            <w:pPr>
              <w:jc w:val="center"/>
              <w:rPr>
                <w:rFonts w:hint="eastAsia" w:ascii="宋体" w:hAnsi="宋体" w:eastAsia="宋体" w:cs="宋体"/>
                <w:i w:val="0"/>
                <w:iCs w:val="0"/>
                <w:color w:val="0F1115"/>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D4885">
            <w:pPr>
              <w:jc w:val="center"/>
              <w:rPr>
                <w:rFonts w:hint="eastAsia" w:ascii="宋体" w:hAnsi="宋体" w:eastAsia="宋体" w:cs="宋体"/>
                <w:i w:val="0"/>
                <w:iCs w:val="0"/>
                <w:color w:val="0F1115"/>
                <w:sz w:val="22"/>
                <w:szCs w:val="22"/>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2D7A47">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3BFDC">
            <w:pPr>
              <w:rPr>
                <w:rFonts w:hint="eastAsia" w:ascii="宋体" w:hAnsi="宋体" w:eastAsia="宋体" w:cs="宋体"/>
                <w:i w:val="0"/>
                <w:iCs w:val="0"/>
                <w:color w:val="0F1115"/>
                <w:sz w:val="22"/>
                <w:szCs w:val="22"/>
                <w:u w:val="none"/>
              </w:rPr>
            </w:pPr>
          </w:p>
        </w:tc>
      </w:tr>
      <w:tr w14:paraId="64E45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ADCFC4">
            <w:pPr>
              <w:jc w:val="center"/>
              <w:rPr>
                <w:rFonts w:hint="eastAsia" w:ascii="宋体" w:hAnsi="宋体" w:eastAsia="宋体" w:cs="宋体"/>
                <w:i w:val="0"/>
                <w:iCs w:val="0"/>
                <w:color w:val="0F1115"/>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CD3676">
            <w:pPr>
              <w:jc w:val="center"/>
              <w:rPr>
                <w:rFonts w:hint="eastAsia" w:ascii="宋体" w:hAnsi="宋体" w:eastAsia="宋体" w:cs="宋体"/>
                <w:i w:val="0"/>
                <w:iCs w:val="0"/>
                <w:color w:val="0F1115"/>
                <w:sz w:val="22"/>
                <w:szCs w:val="22"/>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97C6CC">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597AE">
            <w:pPr>
              <w:rPr>
                <w:rFonts w:hint="eastAsia" w:ascii="宋体" w:hAnsi="宋体" w:eastAsia="宋体" w:cs="宋体"/>
                <w:i w:val="0"/>
                <w:iCs w:val="0"/>
                <w:color w:val="0F1115"/>
                <w:sz w:val="22"/>
                <w:szCs w:val="22"/>
                <w:u w:val="none"/>
              </w:rPr>
            </w:pPr>
          </w:p>
        </w:tc>
      </w:tr>
      <w:tr w14:paraId="4F453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9DB54D">
            <w:pPr>
              <w:jc w:val="center"/>
              <w:rPr>
                <w:rFonts w:hint="eastAsia" w:ascii="宋体" w:hAnsi="宋体" w:eastAsia="宋体" w:cs="宋体"/>
                <w:i w:val="0"/>
                <w:iCs w:val="0"/>
                <w:color w:val="0F1115"/>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3243FC">
            <w:pPr>
              <w:jc w:val="center"/>
              <w:rPr>
                <w:rFonts w:hint="eastAsia" w:ascii="宋体" w:hAnsi="宋体" w:eastAsia="宋体" w:cs="宋体"/>
                <w:i w:val="0"/>
                <w:iCs w:val="0"/>
                <w:color w:val="0F1115"/>
                <w:sz w:val="22"/>
                <w:szCs w:val="22"/>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CC7A2A">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55690">
            <w:pPr>
              <w:rPr>
                <w:rFonts w:hint="eastAsia" w:ascii="宋体" w:hAnsi="宋体" w:eastAsia="宋体" w:cs="宋体"/>
                <w:i w:val="0"/>
                <w:iCs w:val="0"/>
                <w:color w:val="0F1115"/>
                <w:sz w:val="22"/>
                <w:szCs w:val="22"/>
                <w:u w:val="none"/>
              </w:rPr>
            </w:pPr>
          </w:p>
        </w:tc>
      </w:tr>
      <w:tr w14:paraId="01A8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4812">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3.3</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DAE06">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增值服务</w:t>
            </w:r>
          </w:p>
        </w:tc>
        <w:tc>
          <w:tcPr>
            <w:tcW w:w="12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3BA90">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4</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980D">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提供党建联建、财务分析报告、金融知识讲座等有价值的增值服务，每项得2分，满分4分</w:t>
            </w:r>
          </w:p>
        </w:tc>
      </w:tr>
    </w:tbl>
    <w:p w14:paraId="7CD5967C">
      <w:pPr>
        <w:pStyle w:val="5"/>
        <w:keepNext w:val="0"/>
        <w:keepLines w:val="0"/>
        <w:widowControl/>
        <w:suppressLineNumbers w:val="0"/>
        <w:shd w:val="clear" w:fill="FFFFFF"/>
        <w:spacing w:before="240" w:beforeAutospacing="0" w:after="240" w:afterAutospacing="0" w:line="420" w:lineRule="atLeast"/>
        <w:ind w:left="0" w:right="0" w:firstLine="0"/>
        <w:rPr>
          <w:rFonts w:ascii="Segoe UI" w:hAnsi="Segoe UI" w:eastAsia="Segoe UI" w:cs="Segoe UI"/>
          <w:b/>
          <w:bCs/>
          <w:caps w:val="0"/>
          <w:color w:val="0F1115"/>
          <w:spacing w:val="0"/>
          <w:sz w:val="24"/>
          <w:szCs w:val="24"/>
        </w:rPr>
      </w:pPr>
      <w:r>
        <w:rPr>
          <w:rStyle w:val="9"/>
          <w:rFonts w:hint="default" w:ascii="Segoe UI" w:hAnsi="Segoe UI" w:eastAsia="Segoe UI" w:cs="Segoe UI"/>
          <w:b/>
          <w:caps w:val="0"/>
          <w:color w:val="0F1115"/>
          <w:spacing w:val="0"/>
          <w:sz w:val="24"/>
          <w:szCs w:val="24"/>
          <w:shd w:val="clear" w:fill="FFFFFF"/>
        </w:rPr>
        <w:t>（四） 价格与成本 (15分)</w:t>
      </w:r>
    </w:p>
    <w:tbl>
      <w:tblPr>
        <w:tblStyle w:val="7"/>
        <w:tblW w:w="84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2190"/>
        <w:gridCol w:w="1297"/>
        <w:gridCol w:w="3890"/>
      </w:tblGrid>
      <w:tr w14:paraId="0E1EB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4FB36">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序号</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D744C">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评分项</w:t>
            </w:r>
          </w:p>
        </w:tc>
        <w:tc>
          <w:tcPr>
            <w:tcW w:w="12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8BD13">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分值</w:t>
            </w:r>
          </w:p>
        </w:tc>
        <w:tc>
          <w:tcPr>
            <w:tcW w:w="3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CC077">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具体要求和评分标准</w:t>
            </w:r>
          </w:p>
        </w:tc>
      </w:tr>
      <w:tr w14:paraId="4B7D6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8CE6D">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4.1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C5190">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费用减免力度</w:t>
            </w:r>
          </w:p>
        </w:tc>
        <w:tc>
          <w:tcPr>
            <w:tcW w:w="1297" w:type="dxa"/>
            <w:tcBorders>
              <w:top w:val="nil"/>
              <w:left w:val="nil"/>
              <w:bottom w:val="nil"/>
              <w:right w:val="nil"/>
            </w:tcBorders>
            <w:shd w:val="clear" w:color="auto" w:fill="auto"/>
            <w:noWrap/>
            <w:vAlign w:val="center"/>
          </w:tcPr>
          <w:p w14:paraId="773AF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6EE5">
            <w:pPr>
              <w:keepNext w:val="0"/>
              <w:keepLines w:val="0"/>
              <w:widowControl/>
              <w:suppressLineNumbers w:val="0"/>
              <w:jc w:val="left"/>
              <w:textAlignment w:val="center"/>
              <w:rPr>
                <w:rFonts w:hint="eastAsia" w:ascii="宋体" w:hAnsi="宋体" w:eastAsia="宋体" w:cs="宋体"/>
                <w:i w:val="0"/>
                <w:iCs w:val="0"/>
                <w:color w:val="0F1115"/>
                <w:kern w:val="0"/>
                <w:sz w:val="22"/>
                <w:szCs w:val="22"/>
                <w:u w:val="none"/>
                <w:lang w:val="en-US" w:eastAsia="zh-CN" w:bidi="ar"/>
              </w:rPr>
            </w:pPr>
            <w:r>
              <w:rPr>
                <w:rFonts w:hint="eastAsia" w:ascii="宋体" w:hAnsi="宋体" w:eastAsia="宋体" w:cs="宋体"/>
                <w:i w:val="0"/>
                <w:iCs w:val="0"/>
                <w:color w:val="0F1115"/>
                <w:kern w:val="0"/>
                <w:sz w:val="22"/>
                <w:szCs w:val="22"/>
                <w:u w:val="none"/>
                <w:lang w:val="en-US" w:eastAsia="zh-CN" w:bidi="ar"/>
              </w:rPr>
              <w:t>优 (7-8分)：承诺免除账户管理费、小额管理费、线上支付手续费、跨行交易费等所有相关费用。</w:t>
            </w:r>
          </w:p>
          <w:p w14:paraId="1D0DD650">
            <w:pPr>
              <w:keepNext w:val="0"/>
              <w:keepLines w:val="0"/>
              <w:widowControl/>
              <w:suppressLineNumbers w:val="0"/>
              <w:jc w:val="left"/>
              <w:textAlignment w:val="center"/>
              <w:rPr>
                <w:rFonts w:hint="eastAsia" w:ascii="宋体" w:hAnsi="宋体" w:eastAsia="宋体" w:cs="宋体"/>
                <w:i w:val="0"/>
                <w:iCs w:val="0"/>
                <w:color w:val="0F1115"/>
                <w:kern w:val="0"/>
                <w:sz w:val="22"/>
                <w:szCs w:val="22"/>
                <w:u w:val="none"/>
                <w:lang w:val="en-US" w:eastAsia="zh-CN" w:bidi="ar"/>
              </w:rPr>
            </w:pPr>
            <w:r>
              <w:rPr>
                <w:rFonts w:hint="eastAsia" w:ascii="宋体" w:hAnsi="宋体" w:eastAsia="宋体" w:cs="宋体"/>
                <w:i w:val="0"/>
                <w:iCs w:val="0"/>
                <w:color w:val="0F1115"/>
                <w:kern w:val="0"/>
                <w:sz w:val="22"/>
                <w:szCs w:val="22"/>
                <w:u w:val="none"/>
                <w:lang w:val="en-US" w:eastAsia="zh-CN" w:bidi="ar"/>
              </w:rPr>
              <w:t>良 (4-6分)：大部分费用免除，但有个别项目收费。</w:t>
            </w:r>
          </w:p>
          <w:p w14:paraId="6C5BB5E7">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差 (0-3分)：费用减免项目少，成本较高。</w:t>
            </w:r>
          </w:p>
        </w:tc>
      </w:tr>
      <w:tr w14:paraId="3707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9787FB">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4.2</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6D95D2">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资金收益（利率）方案</w:t>
            </w:r>
          </w:p>
        </w:tc>
        <w:tc>
          <w:tcPr>
            <w:tcW w:w="129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38108E">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7</w:t>
            </w:r>
          </w:p>
        </w:tc>
        <w:tc>
          <w:tcPr>
            <w:tcW w:w="3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8C60B">
            <w:pPr>
              <w:keepNext w:val="0"/>
              <w:keepLines w:val="0"/>
              <w:widowControl/>
              <w:suppressLineNumbers w:val="0"/>
              <w:jc w:val="left"/>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lang w:val="en-US" w:eastAsia="zh-CN" w:bidi="ar"/>
              </w:rPr>
              <w:t>对党费账户内资金提供最优的存款利率组合方案（如协定存</w:t>
            </w:r>
            <w:bookmarkStart w:id="0" w:name="_GoBack"/>
            <w:bookmarkEnd w:id="0"/>
            <w:r>
              <w:rPr>
                <w:rFonts w:hint="eastAsia" w:ascii="宋体" w:hAnsi="宋体" w:eastAsia="宋体" w:cs="宋体"/>
                <w:i w:val="0"/>
                <w:iCs w:val="0"/>
                <w:color w:val="0F1115"/>
                <w:kern w:val="0"/>
                <w:sz w:val="22"/>
                <w:szCs w:val="22"/>
                <w:u w:val="none"/>
                <w:lang w:val="en-US" w:eastAsia="zh-CN" w:bidi="ar"/>
              </w:rPr>
              <w:t>款、智能存款等）。由评委根据各银行报价方案的综合收益水平进行横向比较，最优者得满分，次优按比例得分。</w:t>
            </w:r>
          </w:p>
        </w:tc>
      </w:tr>
      <w:tr w14:paraId="159B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B2BBD">
            <w:pPr>
              <w:jc w:val="center"/>
              <w:rPr>
                <w:rFonts w:hint="eastAsia" w:ascii="宋体" w:hAnsi="宋体" w:eastAsia="宋体" w:cs="宋体"/>
                <w:i w:val="0"/>
                <w:iCs w:val="0"/>
                <w:color w:val="0F1115"/>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363379">
            <w:pPr>
              <w:jc w:val="center"/>
              <w:rPr>
                <w:rFonts w:hint="eastAsia" w:ascii="宋体" w:hAnsi="宋体" w:eastAsia="宋体" w:cs="宋体"/>
                <w:i w:val="0"/>
                <w:iCs w:val="0"/>
                <w:color w:val="0F1115"/>
                <w:sz w:val="22"/>
                <w:szCs w:val="22"/>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F2B318">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01E4A">
            <w:pPr>
              <w:rPr>
                <w:rFonts w:hint="eastAsia" w:ascii="宋体" w:hAnsi="宋体" w:eastAsia="宋体" w:cs="宋体"/>
                <w:i w:val="0"/>
                <w:iCs w:val="0"/>
                <w:color w:val="0F1115"/>
                <w:sz w:val="22"/>
                <w:szCs w:val="22"/>
                <w:u w:val="none"/>
              </w:rPr>
            </w:pPr>
          </w:p>
        </w:tc>
      </w:tr>
      <w:tr w14:paraId="263EC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630C99">
            <w:pPr>
              <w:jc w:val="center"/>
              <w:rPr>
                <w:rFonts w:hint="eastAsia" w:ascii="宋体" w:hAnsi="宋体" w:eastAsia="宋体" w:cs="宋体"/>
                <w:i w:val="0"/>
                <w:iCs w:val="0"/>
                <w:color w:val="0F1115"/>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3F7DE9">
            <w:pPr>
              <w:jc w:val="center"/>
              <w:rPr>
                <w:rFonts w:hint="eastAsia" w:ascii="宋体" w:hAnsi="宋体" w:eastAsia="宋体" w:cs="宋体"/>
                <w:i w:val="0"/>
                <w:iCs w:val="0"/>
                <w:color w:val="0F1115"/>
                <w:sz w:val="22"/>
                <w:szCs w:val="22"/>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690245">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91983">
            <w:pPr>
              <w:rPr>
                <w:rFonts w:hint="eastAsia" w:ascii="宋体" w:hAnsi="宋体" w:eastAsia="宋体" w:cs="宋体"/>
                <w:i w:val="0"/>
                <w:iCs w:val="0"/>
                <w:color w:val="0F1115"/>
                <w:sz w:val="22"/>
                <w:szCs w:val="22"/>
                <w:u w:val="none"/>
              </w:rPr>
            </w:pPr>
          </w:p>
        </w:tc>
      </w:tr>
      <w:tr w14:paraId="15D64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411316">
            <w:pPr>
              <w:jc w:val="center"/>
              <w:rPr>
                <w:rFonts w:hint="eastAsia" w:ascii="宋体" w:hAnsi="宋体" w:eastAsia="宋体" w:cs="宋体"/>
                <w:i w:val="0"/>
                <w:iCs w:val="0"/>
                <w:color w:val="0F1115"/>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BE87E">
            <w:pPr>
              <w:jc w:val="center"/>
              <w:rPr>
                <w:rFonts w:hint="eastAsia" w:ascii="宋体" w:hAnsi="宋体" w:eastAsia="宋体" w:cs="宋体"/>
                <w:i w:val="0"/>
                <w:iCs w:val="0"/>
                <w:color w:val="0F1115"/>
                <w:sz w:val="22"/>
                <w:szCs w:val="22"/>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BA33E6">
            <w:pPr>
              <w:jc w:val="center"/>
              <w:rPr>
                <w:rFonts w:hint="eastAsia" w:ascii="宋体" w:hAnsi="宋体" w:eastAsia="宋体" w:cs="宋体"/>
                <w:i w:val="0"/>
                <w:iCs w:val="0"/>
                <w:color w:val="0F1115"/>
                <w:sz w:val="22"/>
                <w:szCs w:val="22"/>
                <w:u w:val="none"/>
              </w:rPr>
            </w:pPr>
          </w:p>
        </w:tc>
        <w:tc>
          <w:tcPr>
            <w:tcW w:w="3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AE700">
            <w:pPr>
              <w:rPr>
                <w:rFonts w:hint="eastAsia" w:ascii="宋体" w:hAnsi="宋体" w:eastAsia="宋体" w:cs="宋体"/>
                <w:i w:val="0"/>
                <w:iCs w:val="0"/>
                <w:color w:val="0F1115"/>
                <w:sz w:val="22"/>
                <w:szCs w:val="22"/>
                <w:u w:val="none"/>
              </w:rPr>
            </w:pPr>
          </w:p>
        </w:tc>
      </w:tr>
    </w:tbl>
    <w:p w14:paraId="1571B2B0">
      <w:pPr>
        <w:numPr>
          <w:ilvl w:val="0"/>
          <w:numId w:val="0"/>
        </w:num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709E17"/>
    <w:multiLevelType w:val="singleLevel"/>
    <w:tmpl w:val="31709E17"/>
    <w:lvl w:ilvl="0" w:tentative="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44704E"/>
    <w:rsid w:val="24D7484C"/>
    <w:rsid w:val="445977B9"/>
    <w:rsid w:val="748770A8"/>
    <w:rsid w:val="77535831"/>
    <w:rsid w:val="79525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rPr>
      <w:sz w:val="24"/>
    </w:rPr>
  </w:style>
  <w:style w:type="character" w:styleId="9">
    <w:name w:val="Strong"/>
    <w:basedOn w:val="8"/>
    <w:qFormat/>
    <w:uiPriority w:val="0"/>
    <w:rPr>
      <w:b/>
    </w:rPr>
  </w:style>
  <w:style w:type="character" w:customStyle="1" w:styleId="10">
    <w:name w:val="font31"/>
    <w:basedOn w:val="8"/>
    <w:qFormat/>
    <w:uiPriority w:val="0"/>
    <w:rPr>
      <w:rFonts w:hint="default" w:ascii="Segoe UI" w:hAnsi="Segoe UI" w:eastAsia="Segoe UI" w:cs="Segoe UI"/>
      <w:color w:val="0F1115"/>
      <w:sz w:val="23"/>
      <w:szCs w:val="23"/>
      <w:u w:val="none"/>
    </w:rPr>
  </w:style>
  <w:style w:type="character" w:customStyle="1" w:styleId="11">
    <w:name w:val="font21"/>
    <w:basedOn w:val="8"/>
    <w:qFormat/>
    <w:uiPriority w:val="0"/>
    <w:rPr>
      <w:rFonts w:hint="eastAsia" w:ascii="宋体" w:hAnsi="宋体" w:eastAsia="宋体" w:cs="宋体"/>
      <w:color w:val="0F1115"/>
      <w:sz w:val="23"/>
      <w:szCs w:val="23"/>
      <w:u w:val="none"/>
    </w:rPr>
  </w:style>
  <w:style w:type="character" w:customStyle="1" w:styleId="12">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1585</Words>
  <Characters>1748</Characters>
  <Lines>0</Lines>
  <Paragraphs>0</Paragraphs>
  <TotalTime>1515</TotalTime>
  <ScaleCrop>false</ScaleCrop>
  <LinksUpToDate>false</LinksUpToDate>
  <CharactersWithSpaces>1789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2025-11-25T01:34:00Z</dcterms:created>
  <dc:creator>清华同方</dc:creator>
  <cp:lastModifiedBy>x.x.m</cp:lastModifiedBy>
  <dcterms:modified xsi:type="dcterms:W3CDTF">2026-03-30T07:12:24Z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6590556C42414043B2DD0625F4028780_12</vt:lpwstr>
  </property>
</Properties>
</file>