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AB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Style w:val="9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9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附件3：</w:t>
      </w:r>
      <w:bookmarkStart w:id="0" w:name="_GoBack"/>
      <w:bookmarkEnd w:id="0"/>
    </w:p>
    <w:p w14:paraId="6214D6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西双版纳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傣族自治州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人民医院互联网医院药品物流配送服务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项目</w:t>
      </w:r>
      <w:r>
        <w:rPr>
          <w:rStyle w:val="9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采购需求</w:t>
      </w:r>
    </w:p>
    <w:p w14:paraId="5AC353B7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贯彻落实《国务院办公厅关于促进“互联网+医疗健康”发展的意见》，加快推进我院互联网医院建设，提升线上诊疗服务闭环效率，保障药品配送安全、及时、可追溯，满足患者便捷就医需求，现拟采购第三方药品物流配送服务，择优遴选具备专业资质、服务能力强、信息系统完善、合规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营的物流企业作为合作伙伴。</w:t>
      </w:r>
    </w:p>
    <w:p w14:paraId="4ACBE48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一、服务内容</w:t>
      </w:r>
    </w:p>
    <w:p w14:paraId="1F4E8B0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（一）药品配送服务覆盖范围</w:t>
      </w:r>
    </w:p>
    <w:p w14:paraId="6DF8029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配送药品类型包括但不限于：</w:t>
      </w:r>
    </w:p>
    <w:p w14:paraId="4BB2559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西药、中成药；</w:t>
      </w:r>
    </w:p>
    <w:p w14:paraId="55308D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中药饮片、中药配方颗粒；</w:t>
      </w:r>
    </w:p>
    <w:p w14:paraId="6AD570E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医院制剂</w:t>
      </w:r>
    </w:p>
    <w:p w14:paraId="533DA1F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配送区域覆盖：</w:t>
      </w:r>
    </w:p>
    <w:p w14:paraId="217B682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西双版纳州全境（含乡镇及偏远山区）；</w:t>
      </w:r>
    </w:p>
    <w:p w14:paraId="2848847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云南省内其他州市；</w:t>
      </w:r>
    </w:p>
    <w:p w14:paraId="61C21A6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跨省配送（覆盖全国主要城市）。</w:t>
      </w:r>
    </w:p>
    <w:p w14:paraId="2412DC2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配送时效要求：</w:t>
      </w:r>
    </w:p>
    <w:p w14:paraId="6D75088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同城急送：3小时内送达；</w:t>
      </w:r>
    </w:p>
    <w:p w14:paraId="5AF9B74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州市内：24小时内送达；</w:t>
      </w:r>
    </w:p>
    <w:p w14:paraId="636F0EB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省内其他地区：48小时内送达；</w:t>
      </w:r>
    </w:p>
    <w:p w14:paraId="7A49247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跨省：按快递标准时效，支持实时轨迹查询。</w:t>
      </w:r>
    </w:p>
    <w:p w14:paraId="44D4D7C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（二）系统对接与信息化支持</w:t>
      </w:r>
    </w:p>
    <w:p w14:paraId="7FC3207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支持与我院互联网医院系统、HIS系统对接，实现订单信息自动同步、状态实时回传。</w:t>
      </w:r>
    </w:p>
    <w:p w14:paraId="39A3D3B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供标准化API接口或支持跳转至物流企业小程序下单，确保流程顺畅、数据安全。</w:t>
      </w:r>
    </w:p>
    <w:p w14:paraId="51AF03A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具备订单管理后台，支持医院端查询、导出、打印面单、查看物流轨迹等功能。</w:t>
      </w:r>
    </w:p>
    <w:p w14:paraId="401DE21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（三）包装与运输保障</w:t>
      </w:r>
    </w:p>
    <w:p w14:paraId="29CBBD3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提供专业化药品包装方案，包括防震、防漏、温控包装等，确保药品运输安全。</w:t>
      </w:r>
    </w:p>
    <w:p w14:paraId="32671D3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针对特殊药品（如冷藏药品、玻璃瓶装药品）提供定制化包装与运输保障方案。</w:t>
      </w:r>
    </w:p>
    <w:p w14:paraId="266756A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包装材料符合药品运输规范，支持个性化包材采购与使用。</w:t>
      </w:r>
    </w:p>
    <w:p w14:paraId="387FBFE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（四）服务流程与质量控制</w:t>
      </w:r>
    </w:p>
    <w:p w14:paraId="4E417DC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提供驻场或定点取件服务，确保药品交接及时、信息核对准确。</w:t>
      </w:r>
    </w:p>
    <w:p w14:paraId="5DB9DEE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建立药品配送全流程监控机制，包括取药核对、包装拍照、配送跟踪、签收确认等环节。</w:t>
      </w:r>
    </w:p>
    <w:p w14:paraId="5FA29FC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设立药品配送专项客服，提供7×24小时查询与投诉处理服务。</w:t>
      </w:r>
    </w:p>
    <w:p w14:paraId="1896CC1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（五）隐私与信息安全</w:t>
      </w:r>
    </w:p>
    <w:p w14:paraId="4A99AEB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配送过程中对患者信息进行脱敏处理，使用隐私面单，保护患者个人信息安全。</w:t>
      </w:r>
    </w:p>
    <w:p w14:paraId="2EBB20D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物流信息系统符合国家信息安全标准，具备相应等级保护认证。</w:t>
      </w:r>
    </w:p>
    <w:p w14:paraId="06E97E7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物流人员签署保密协议，严禁泄露患者信息。</w:t>
      </w:r>
    </w:p>
    <w:p w14:paraId="0267AE1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（六）异常处理与赔付机制</w:t>
      </w:r>
    </w:p>
    <w:p w14:paraId="4E22E96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制定明确的药品破损、遗失、错寄、延迟等异常情况处理流程与赔付标准。</w:t>
      </w:r>
    </w:p>
    <w:p w14:paraId="1DED7DD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提供快速理赔机制，一般赔付事宜在48小时内处理完毕。</w:t>
      </w:r>
    </w:p>
    <w:p w14:paraId="5719F43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建立与我院的协同应急机制，对突发情况及时沟通、联合处理。</w:t>
      </w:r>
    </w:p>
    <w:p w14:paraId="73EAEB1E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二、资质要求</w:t>
      </w:r>
    </w:p>
    <w:p w14:paraId="2B4328B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具备合法有效的《快递业务经营许可证》及药品运输相关资质。</w:t>
      </w:r>
    </w:p>
    <w:p w14:paraId="3B5E4CA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企业信誉良好，近三年内无重大违法违规记录，无药品配送安全事故。</w:t>
      </w:r>
    </w:p>
    <w:p w14:paraId="4CC0BFE0"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具备成熟专业的医药配送服务体系，服务互联网医疗或线上处方药品配送的成熟经验，并提供相关案例。</w:t>
      </w:r>
    </w:p>
    <w:p w14:paraId="1B5D002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信息化系统完善，支持与医院系统对接，具备数据安全保障能力。</w:t>
      </w:r>
    </w:p>
    <w:p w14:paraId="5745705E">
      <w:pPr>
        <w:rPr>
          <w:rFonts w:hint="eastAsia" w:ascii="Times New Roman" w:hAnsi="Times New Roman" w:eastAsia="方正仿宋_GBK" w:cs="Times New Roman"/>
          <w:color w:val="C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有稳定的服务网络和配送队伍，能提供驻场或即时响应服务。</w:t>
      </w:r>
    </w:p>
    <w:p w14:paraId="243F6897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三、服务标准与响应要求</w:t>
      </w:r>
    </w:p>
    <w:p w14:paraId="1A449B7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服务时间：7×24小时响应。</w:t>
      </w:r>
    </w:p>
    <w:p w14:paraId="25081B6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订单接收后30分钟内确认并安排取件。</w:t>
      </w:r>
    </w:p>
    <w:p w14:paraId="3FFDDAC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物流信息实时同步至医院系统。</w:t>
      </w:r>
    </w:p>
    <w:p w14:paraId="50DA22D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每月提供配送服务数据报告，包括订单量、时效达成率、异常情况统计等。</w:t>
      </w:r>
    </w:p>
    <w:p w14:paraId="23446CD4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四、预算控制</w:t>
      </w:r>
    </w:p>
    <w:p w14:paraId="0053930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参考市场服务标准及同类医院合作情况，本次采购预算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为0元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患者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到付形式，医院与药品物流配送公司间不产生任何费用。</w:t>
      </w:r>
    </w:p>
    <w:p w14:paraId="42AB19C6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五、合作期限</w:t>
      </w:r>
    </w:p>
    <w:p w14:paraId="523E5FD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合作期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年，合同一年一签，年度考核合格后续签。</w:t>
      </w:r>
    </w:p>
    <w:p w14:paraId="4704A131">
      <w:pPr>
        <w:ind w:left="6068" w:leftChars="2280" w:hanging="1280" w:hangingChars="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557D7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54442-5C82-4BB9-BB31-9797F37B43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7F570D-3AE2-4A04-9719-386FE465EA5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5BB2E74-3587-4903-9F39-53D0B188A8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E0D58C-89B7-429E-93AA-88D79CFCDF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9E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8E2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8E2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45EAC"/>
    <w:rsid w:val="222F68D0"/>
    <w:rsid w:val="32543550"/>
    <w:rsid w:val="35704CEB"/>
    <w:rsid w:val="6C3F6AF2"/>
    <w:rsid w:val="7D1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1305</Characters>
  <Lines>0</Lines>
  <Paragraphs>0</Paragraphs>
  <TotalTime>41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2026-01-12T07:02:00Z</dcterms:created>
  <dc:creator>ywk01</dc:creator>
  <cp:lastModifiedBy>向日葵的夜</cp:lastModifiedBy>
  <cp:lastPrinted>2026-01-16T08:43:15Z</cp:lastPrinted>
  <dcterms:modified xsi:type="dcterms:W3CDTF">2026-01-16T08:46:09Z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652874F9C50545ECBCB9029597039945_13</vt:lpwstr>
  </property>
</Properties>
</file>