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2A41">
      <w:pPr>
        <w:keepNext w:val="0"/>
        <w:keepLines w:val="0"/>
        <w:widowControl/>
        <w:numPr>
          <w:ilvl w:val="0"/>
          <w:numId w:val="0"/>
        </w:numPr>
        <w:suppressLineNumbers w:val="0"/>
        <w:jc w:val="left"/>
        <w:textAlignment w:val="center"/>
        <w:rPr>
          <w:rFonts w:hint="eastAsia" w:ascii="方正楷体_GBK" w:hAnsi="方正楷体_GBK" w:eastAsia="方正楷体_GBK" w:cs="方正楷体_GBK"/>
          <w:b w:val="0"/>
          <w:bCs w:val="0"/>
          <w:i w:val="0"/>
          <w:iCs w:val="0"/>
          <w:color w:val="auto"/>
          <w:kern w:val="2"/>
          <w:sz w:val="32"/>
          <w:szCs w:val="32"/>
          <w:lang w:val="en-US" w:eastAsia="zh-CN" w:bidi="ar-SA"/>
        </w:rPr>
      </w:pPr>
      <w:r>
        <w:rPr>
          <w:rFonts w:hint="eastAsia" w:ascii="方正楷体_GBK" w:hAnsi="方正楷体_GBK" w:eastAsia="方正楷体_GBK" w:cs="方正楷体_GBK"/>
          <w:b w:val="0"/>
          <w:bCs w:val="0"/>
          <w:i w:val="0"/>
          <w:iCs w:val="0"/>
          <w:color w:val="auto"/>
          <w:kern w:val="2"/>
          <w:sz w:val="32"/>
          <w:szCs w:val="32"/>
          <w:lang w:val="en-US" w:eastAsia="zh-CN" w:bidi="ar-SA"/>
        </w:rPr>
        <w:t>附件2：</w:t>
      </w:r>
    </w:p>
    <w:p w14:paraId="08A86C69">
      <w:pPr>
        <w:keepNext w:val="0"/>
        <w:keepLines w:val="0"/>
        <w:widowControl/>
        <w:numPr>
          <w:ilvl w:val="0"/>
          <w:numId w:val="0"/>
        </w:numPr>
        <w:suppressLineNumbers w:val="0"/>
        <w:jc w:val="center"/>
        <w:textAlignment w:val="center"/>
        <w:rPr>
          <w:rFonts w:hint="default" w:ascii="方正小标宋_GBK" w:hAnsi="方正小标宋_GBK" w:eastAsia="方正小标宋_GBK" w:cs="方正小标宋_GBK"/>
          <w:b/>
          <w:bCs/>
          <w:i w:val="0"/>
          <w:iCs w:val="0"/>
          <w:color w:val="auto"/>
          <w:kern w:val="2"/>
          <w:sz w:val="44"/>
          <w:szCs w:val="44"/>
          <w:lang w:val="en-US" w:eastAsia="zh-CN" w:bidi="ar-SA"/>
        </w:rPr>
      </w:pPr>
      <w:r>
        <w:rPr>
          <w:rFonts w:hint="eastAsia" w:ascii="方正小标宋_GBK" w:hAnsi="方正小标宋_GBK" w:eastAsia="方正小标宋_GBK" w:cs="方正小标宋_GBK"/>
          <w:b/>
          <w:bCs/>
          <w:i w:val="0"/>
          <w:iCs w:val="0"/>
          <w:color w:val="auto"/>
          <w:kern w:val="2"/>
          <w:sz w:val="44"/>
          <w:szCs w:val="44"/>
          <w:lang w:val="en-US" w:eastAsia="zh-CN" w:bidi="ar-SA"/>
        </w:rPr>
        <w:t>2025年度财务报表审计与2025年内控评价和风险评估服务采购服务需求</w:t>
      </w:r>
    </w:p>
    <w:p w14:paraId="4BC8DBB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黑体_GBK" w:hAnsi="方正黑体_GBK" w:eastAsia="方正黑体_GBK" w:cs="方正黑体_GBK"/>
          <w:b/>
          <w:bCs/>
          <w:i w:val="0"/>
          <w:iCs w:val="0"/>
          <w:color w:val="auto"/>
          <w:sz w:val="32"/>
          <w:szCs w:val="32"/>
          <w:u w:val="none"/>
          <w:lang w:val="en-US" w:eastAsia="zh-CN"/>
        </w:rPr>
      </w:pPr>
      <w:r>
        <w:rPr>
          <w:rFonts w:hint="eastAsia" w:ascii="方正黑体_GBK" w:hAnsi="方正黑体_GBK" w:eastAsia="方正黑体_GBK" w:cs="方正黑体_GBK"/>
          <w:b/>
          <w:bCs/>
          <w:i w:val="0"/>
          <w:iCs w:val="0"/>
          <w:color w:val="auto"/>
          <w:kern w:val="2"/>
          <w:sz w:val="32"/>
          <w:szCs w:val="32"/>
          <w:lang w:val="en-US" w:eastAsia="zh-CN" w:bidi="ar-SA"/>
        </w:rPr>
        <w:t>一、</w:t>
      </w:r>
      <w:r>
        <w:rPr>
          <w:rFonts w:hint="eastAsia" w:ascii="方正黑体_GBK" w:hAnsi="方正黑体_GBK" w:eastAsia="方正黑体_GBK" w:cs="方正黑体_GBK"/>
          <w:b/>
          <w:bCs/>
          <w:i w:val="0"/>
          <w:iCs w:val="0"/>
          <w:color w:val="auto"/>
          <w:sz w:val="32"/>
          <w:szCs w:val="32"/>
          <w:u w:val="none"/>
          <w:lang w:val="en-US" w:eastAsia="zh-CN"/>
        </w:rPr>
        <w:t>服务内容</w:t>
      </w:r>
    </w:p>
    <w:p w14:paraId="4567B8ED">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楷体_GBK" w:hAnsi="方正楷体_GBK" w:eastAsia="方正楷体_GBK" w:cs="方正楷体_GBK"/>
          <w:b/>
          <w:bCs/>
          <w:i w:val="0"/>
          <w:iCs w:val="0"/>
          <w:color w:val="auto"/>
          <w:sz w:val="32"/>
          <w:szCs w:val="32"/>
          <w:u w:val="none"/>
          <w:lang w:val="en-US" w:eastAsia="zh-CN"/>
        </w:rPr>
      </w:pPr>
      <w:r>
        <w:rPr>
          <w:rFonts w:hint="eastAsia" w:ascii="方正楷体_GBK" w:hAnsi="方正楷体_GBK" w:eastAsia="方正楷体_GBK" w:cs="方正楷体_GBK"/>
          <w:b/>
          <w:bCs/>
          <w:i w:val="0"/>
          <w:iCs w:val="0"/>
          <w:color w:val="auto"/>
          <w:sz w:val="32"/>
          <w:szCs w:val="32"/>
          <w:u w:val="none"/>
          <w:lang w:val="en-US" w:eastAsia="zh-CN"/>
        </w:rPr>
        <w:t>（一）服务范围及目标</w:t>
      </w:r>
    </w:p>
    <w:p w14:paraId="6F79B54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1.对采购人2025年度财务报表及预算会计报表进行审计。确保报告符合政府会计准则制度要求，并在所有重大方面公允反映采购人的财务状况、经营成果、现金流量、预算收支执行情况发表审计意见。</w:t>
      </w:r>
    </w:p>
    <w:p w14:paraId="5CAE422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2.对采购人2025年度内部控制进行评价和风险评估。按《公立医院内部控制管理办法》的要求对采购人内部控制建立与实施情况进行综合评价及风险评估，提出切实可行的内部控制改进建议，促进内部控制的持续改进，不断提升内部控制有效性。</w:t>
      </w:r>
    </w:p>
    <w:p w14:paraId="18C8E59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楷体_GBK" w:hAnsi="方正楷体_GBK" w:eastAsia="方正楷体_GBK" w:cs="方正楷体_GBK"/>
          <w:b/>
          <w:bCs/>
          <w:i w:val="0"/>
          <w:iCs w:val="0"/>
          <w:color w:val="auto"/>
          <w:sz w:val="32"/>
          <w:szCs w:val="32"/>
          <w:u w:val="none"/>
          <w:lang w:val="en-US" w:eastAsia="zh-CN"/>
        </w:rPr>
      </w:pPr>
      <w:r>
        <w:rPr>
          <w:rFonts w:hint="eastAsia" w:ascii="方正楷体_GBK" w:hAnsi="方正楷体_GBK" w:eastAsia="方正楷体_GBK" w:cs="方正楷体_GBK"/>
          <w:b/>
          <w:bCs/>
          <w:i w:val="0"/>
          <w:iCs w:val="0"/>
          <w:color w:val="auto"/>
          <w:sz w:val="32"/>
          <w:szCs w:val="32"/>
          <w:u w:val="none"/>
          <w:lang w:val="en-US" w:eastAsia="zh-CN"/>
        </w:rPr>
        <w:t>（二）服务内容</w:t>
      </w:r>
    </w:p>
    <w:p w14:paraId="5D340CD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1.财务报表审计服务内容</w:t>
      </w:r>
    </w:p>
    <w:p w14:paraId="4BFA01A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（1）资产负债表、收入费用表、医疗活动收入费用明细表、净资产变动表、现金流量表、预算收入支出表和预算结转结余变动表（统称财务报表）；</w:t>
      </w:r>
    </w:p>
    <w:p w14:paraId="62F904D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（2）采购人财务收支、专项资金使用及管理情况；</w:t>
      </w:r>
    </w:p>
    <w:p w14:paraId="5E98CE1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（3）预算的编制及执行情况，预算绩效评价情况；</w:t>
      </w:r>
    </w:p>
    <w:p w14:paraId="475926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（4）银行账户开设及管理情况；</w:t>
      </w:r>
    </w:p>
    <w:p w14:paraId="075DFDB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（5）公务卡结算制度执行情况；</w:t>
      </w:r>
    </w:p>
    <w:p w14:paraId="750893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（6）现金的管理使用情况；</w:t>
      </w:r>
    </w:p>
    <w:p w14:paraId="3C68254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（7）各项采购程序规范情况（包括但不限于办公用品、药品、医用耗材、医疗设备）；</w:t>
      </w:r>
    </w:p>
    <w:p w14:paraId="4D14059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（8）固定资产及其他资产配置、使用、处置及管理情况（包括配置、出租出借、报废处置等情况是否合规）；</w:t>
      </w:r>
    </w:p>
    <w:p w14:paraId="1955470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（9）重大项目的投资、建设和管理情况；</w:t>
      </w:r>
    </w:p>
    <w:p w14:paraId="48AC6CA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（10）年度财务报告编制情况；</w:t>
      </w:r>
    </w:p>
    <w:p w14:paraId="4B8A619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（11）“三公经费”“差旅费”“会议费”“培训费”及中央八项规定精神执行情况；</w:t>
      </w:r>
    </w:p>
    <w:p w14:paraId="5762F61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（12）以前年度审计、巡视巡察查出问题的整改情况；</w:t>
      </w:r>
    </w:p>
    <w:p w14:paraId="486835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（13）其他需要审计的事项。</w:t>
      </w:r>
    </w:p>
    <w:p w14:paraId="1982CDE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2.内部控制评价服务内容</w:t>
      </w:r>
    </w:p>
    <w:p w14:paraId="36AEDBB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根据财政部对《行政事业单位内部控制规范（试行）》（财会〔2012〕21 号）、《行政事业单位内部控制报告管理制度（试行）》（财会〔2017〕1 号）、《关于加强公立医院运营管理的指导意见》(国卫财务发〔2020〕27 号)、《公立医院内部控制管理办法》（国卫财务发〔2020〕31 号）等制度办法的有关要求，对医院对内部控制单位层面及12项经济及业务内容存在的风险进行全面、系统和客观评估，出具《内部控制风险评估报告》并提出完善风险管理的建议；对医院现有的内部控制设计有效性和内部控制运行有效性进行评价，出具《内部控制评价报告》并对存在的问题提出改进建议等。</w:t>
      </w:r>
    </w:p>
    <w:p w14:paraId="66885B6F">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楷体_GBK" w:hAnsi="方正楷体_GBK" w:eastAsia="方正楷体_GBK" w:cs="方正楷体_GBK"/>
          <w:b/>
          <w:bCs/>
          <w:i w:val="0"/>
          <w:iCs w:val="0"/>
          <w:color w:val="auto"/>
          <w:sz w:val="32"/>
          <w:szCs w:val="32"/>
          <w:u w:val="none"/>
          <w:lang w:val="en-US" w:eastAsia="zh-CN"/>
        </w:rPr>
        <w:t>（三）本项目总预算金额</w:t>
      </w:r>
      <w:r>
        <w:rPr>
          <w:rFonts w:hint="eastAsia" w:ascii="方正仿宋_GBK" w:hAnsi="方正仿宋_GBK" w:eastAsia="方正仿宋_GBK" w:cs="方正仿宋_GBK"/>
          <w:b w:val="0"/>
          <w:bCs w:val="0"/>
          <w:i w:val="0"/>
          <w:iCs w:val="0"/>
          <w:color w:val="auto"/>
          <w:sz w:val="32"/>
          <w:szCs w:val="32"/>
          <w:u w:val="none"/>
          <w:lang w:val="en-US" w:eastAsia="zh-CN"/>
        </w:rPr>
        <w:t>：115000.00元，2025年度财务报表审计采购预算金额为50000元；2025年内控评价和风险评估服务采购预算金额为65000元，供应商响应时需进行分项报价，单项价格和总价格小于或等于预算价。</w:t>
      </w:r>
    </w:p>
    <w:p w14:paraId="08FE93E9">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黑体_GBK" w:hAnsi="方正黑体_GBK" w:eastAsia="方正黑体_GBK" w:cs="方正黑体_GBK"/>
          <w:b/>
          <w:bCs/>
          <w:i w:val="0"/>
          <w:iCs w:val="0"/>
          <w:color w:val="auto"/>
          <w:sz w:val="32"/>
          <w:szCs w:val="32"/>
          <w:u w:val="none"/>
          <w:lang w:val="en-US" w:eastAsia="zh-CN"/>
        </w:rPr>
      </w:pPr>
      <w:r>
        <w:rPr>
          <w:rFonts w:hint="eastAsia" w:ascii="方正黑体_GBK" w:hAnsi="方正黑体_GBK" w:eastAsia="方正黑体_GBK" w:cs="方正黑体_GBK"/>
          <w:b/>
          <w:bCs/>
          <w:i w:val="0"/>
          <w:iCs w:val="0"/>
          <w:color w:val="auto"/>
          <w:sz w:val="32"/>
          <w:szCs w:val="32"/>
          <w:u w:val="none"/>
          <w:lang w:val="en-US" w:eastAsia="zh-CN"/>
        </w:rPr>
        <w:t>二、资质要求</w:t>
      </w:r>
    </w:p>
    <w:p w14:paraId="309FDC5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一）注册于中华人民共和国境内，具有独立承担民事责任能力的法人或其他经济组织，具备有效的营业执照。具有《会计师事务所执业证书》，近三年内无行贿犯罪记录及无重大违法记录，遵循依法、独立、客观公正、廉洁保密的工作原则，保证审计报告、审计结论和风险评估报告等真实准确、客观公正、合法合规。</w:t>
      </w:r>
    </w:p>
    <w:p w14:paraId="293C33D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（二）服务团队要求：</w:t>
      </w:r>
    </w:p>
    <w:p w14:paraId="44701A4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1.项目组成员不少于5人，其中项目负责人具有注册会计师执业资格，全程参与审计工作；项目组成员具备中级及以上职称不少于2人。人员均为供应商在册员工（需提供2024年1月至今（含1月份）任意3个月社会保障资金缴纳证明材料，若公司成立不足3个月的或免缴纳社会保险费的企业需提供相关证明材料）。</w:t>
      </w:r>
    </w:p>
    <w:p w14:paraId="630EF91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2.项目组成员具有丰富的审计经验、较强的协调沟通能力、遵守职业准则、职业道德；</w:t>
      </w:r>
    </w:p>
    <w:p w14:paraId="5351433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3.项目组成员熟悉政府会计准则制度、医院财务管理流程、医保政策及内部控制相关规定，具备执业所需胜任能力；</w:t>
      </w:r>
    </w:p>
    <w:p w14:paraId="345F215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4.供应商在进场时需全部人员到场且提供证件原件；在服务期内不应变动，如需变动需经采购人同意。供应商在报表审计期间进场不少于15个工作日，在内控评价和风险评估服务期间进场不少于15个工作日。</w:t>
      </w:r>
    </w:p>
    <w:p w14:paraId="1F2FA29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（三）具有良好的社会信誉和健全的财务会计制度；</w:t>
      </w:r>
    </w:p>
    <w:p w14:paraId="51C377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（四）具有履行合同所必须的专业技术能力；</w:t>
      </w:r>
    </w:p>
    <w:p w14:paraId="6D21786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（五）具有依法缴纳税收和社会保障资金的良好记录；</w:t>
      </w:r>
    </w:p>
    <w:p w14:paraId="14A7E5E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（六）法律、行政法规规定的其他条件；</w:t>
      </w:r>
    </w:p>
    <w:p w14:paraId="04A4976D">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黑体_GBK" w:hAnsi="方正黑体_GBK" w:eastAsia="方正黑体_GBK" w:cs="方正黑体_GBK"/>
          <w:b/>
          <w:bCs/>
          <w:i w:val="0"/>
          <w:iCs w:val="0"/>
          <w:color w:val="auto"/>
          <w:sz w:val="32"/>
          <w:szCs w:val="32"/>
          <w:u w:val="none"/>
          <w:lang w:val="en-US" w:eastAsia="zh-CN"/>
        </w:rPr>
      </w:pPr>
      <w:r>
        <w:rPr>
          <w:rFonts w:hint="eastAsia" w:ascii="方正黑体_GBK" w:hAnsi="方正黑体_GBK" w:eastAsia="方正黑体_GBK" w:cs="方正黑体_GBK"/>
          <w:b/>
          <w:bCs/>
          <w:i w:val="0"/>
          <w:iCs w:val="0"/>
          <w:color w:val="auto"/>
          <w:sz w:val="32"/>
          <w:szCs w:val="32"/>
          <w:u w:val="none"/>
          <w:lang w:val="en-US" w:eastAsia="zh-CN"/>
        </w:rPr>
        <w:t>三、服务成果包括但不限于以下内容</w:t>
      </w:r>
    </w:p>
    <w:p w14:paraId="2BB7C3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kern w:val="2"/>
          <w:sz w:val="32"/>
          <w:szCs w:val="32"/>
          <w:lang w:val="en-US" w:eastAsia="zh-CN" w:bidi="ar-SA"/>
        </w:rPr>
        <w:t>（一）</w:t>
      </w:r>
      <w:r>
        <w:rPr>
          <w:rFonts w:hint="eastAsia" w:ascii="方正仿宋_GBK" w:hAnsi="方正仿宋_GBK" w:eastAsia="方正仿宋_GBK" w:cs="方正仿宋_GBK"/>
          <w:i w:val="0"/>
          <w:iCs w:val="0"/>
          <w:color w:val="auto"/>
          <w:sz w:val="32"/>
          <w:szCs w:val="32"/>
          <w:u w:val="none"/>
          <w:lang w:val="en-US" w:eastAsia="zh-CN"/>
        </w:rPr>
        <w:t>出具年度财务报表审计报告（含资产负债表、收入费用表、利润表、现金流量表)；</w:t>
      </w:r>
    </w:p>
    <w:p w14:paraId="6E8D2C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center"/>
        <w:rPr>
          <w:rFonts w:hint="eastAsia" w:ascii="方正仿宋_GBK" w:hAnsi="方正仿宋_GBK" w:eastAsia="方正仿宋_GBK" w:cs="方正仿宋_GBK"/>
          <w:i w:val="0"/>
          <w:iCs w:val="0"/>
          <w:color w:val="auto"/>
          <w:sz w:val="32"/>
          <w:szCs w:val="32"/>
          <w:u w:val="none"/>
          <w:lang w:val="en-US" w:eastAsia="zh-CN"/>
        </w:rPr>
      </w:pPr>
      <w:r>
        <w:rPr>
          <w:rFonts w:hint="eastAsia" w:ascii="方正仿宋_GBK" w:hAnsi="方正仿宋_GBK" w:eastAsia="方正仿宋_GBK" w:cs="方正仿宋_GBK"/>
          <w:i w:val="0"/>
          <w:iCs w:val="0"/>
          <w:color w:val="auto"/>
          <w:sz w:val="32"/>
          <w:szCs w:val="32"/>
          <w:u w:val="none"/>
          <w:lang w:val="en-US" w:eastAsia="zh-CN"/>
        </w:rPr>
        <w:t>（二）出具管理层建议书；</w:t>
      </w:r>
    </w:p>
    <w:p w14:paraId="3E83808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rPr>
          <w:rFonts w:hint="eastAsia" w:ascii="方正仿宋_GBK" w:hAnsi="方正仿宋_GBK" w:eastAsia="方正仿宋_GBK" w:cs="方正仿宋_GBK"/>
          <w:i w:val="0"/>
          <w:iCs w:val="0"/>
          <w:color w:val="auto"/>
          <w:kern w:val="2"/>
          <w:sz w:val="32"/>
          <w:szCs w:val="32"/>
          <w:u w:val="none"/>
          <w:lang w:val="en-US" w:eastAsia="zh-CN" w:bidi="ar-SA"/>
        </w:rPr>
      </w:pPr>
      <w:r>
        <w:rPr>
          <w:rFonts w:hint="eastAsia" w:ascii="方正仿宋_GBK" w:hAnsi="方正仿宋_GBK" w:eastAsia="方正仿宋_GBK" w:cs="方正仿宋_GBK"/>
          <w:i w:val="0"/>
          <w:iCs w:val="0"/>
          <w:color w:val="auto"/>
          <w:kern w:val="2"/>
          <w:sz w:val="32"/>
          <w:szCs w:val="32"/>
          <w:lang w:val="en-US" w:eastAsia="zh-CN" w:bidi="ar-SA"/>
        </w:rPr>
        <w:t>（三）</w:t>
      </w:r>
      <w:r>
        <w:rPr>
          <w:rFonts w:hint="eastAsia" w:ascii="方正仿宋_GBK" w:hAnsi="方正仿宋_GBK" w:eastAsia="方正仿宋_GBK" w:cs="方正仿宋_GBK"/>
          <w:i w:val="0"/>
          <w:iCs w:val="0"/>
          <w:color w:val="auto"/>
          <w:kern w:val="2"/>
          <w:sz w:val="32"/>
          <w:szCs w:val="32"/>
          <w:u w:val="none"/>
          <w:lang w:val="en-US" w:eastAsia="zh-CN" w:bidi="ar-SA"/>
        </w:rPr>
        <w:t>内部控制评价报告；</w:t>
      </w:r>
    </w:p>
    <w:p w14:paraId="38F8D4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rPr>
          <w:rFonts w:hint="eastAsia" w:ascii="方正仿宋_GBK" w:hAnsi="方正仿宋_GBK" w:eastAsia="方正仿宋_GBK" w:cs="方正仿宋_GBK"/>
          <w:i w:val="0"/>
          <w:iCs w:val="0"/>
          <w:color w:val="auto"/>
          <w:kern w:val="2"/>
          <w:sz w:val="32"/>
          <w:szCs w:val="32"/>
          <w:u w:val="none"/>
          <w:lang w:val="en-US" w:eastAsia="zh-CN" w:bidi="ar-SA"/>
        </w:rPr>
      </w:pPr>
      <w:r>
        <w:rPr>
          <w:rFonts w:hint="eastAsia" w:ascii="方正仿宋_GBK" w:hAnsi="方正仿宋_GBK" w:eastAsia="方正仿宋_GBK" w:cs="方正仿宋_GBK"/>
          <w:i w:val="0"/>
          <w:iCs w:val="0"/>
          <w:color w:val="auto"/>
          <w:kern w:val="2"/>
          <w:sz w:val="32"/>
          <w:szCs w:val="32"/>
          <w:lang w:val="en-US" w:eastAsia="zh-CN" w:bidi="ar-SA"/>
        </w:rPr>
        <w:t>（四</w:t>
      </w:r>
      <w:r>
        <w:rPr>
          <w:rFonts w:hint="eastAsia" w:ascii="方正仿宋_GBK" w:hAnsi="方正仿宋_GBK" w:eastAsia="方正仿宋_GBK" w:cs="方正仿宋_GBK"/>
          <w:i w:val="0"/>
          <w:iCs w:val="0"/>
          <w:color w:val="auto"/>
          <w:kern w:val="2"/>
          <w:sz w:val="32"/>
          <w:szCs w:val="32"/>
          <w:u w:val="none"/>
          <w:lang w:val="en-US" w:eastAsia="zh-CN" w:bidi="ar-SA"/>
        </w:rPr>
        <w:t>）风险评估报告；</w:t>
      </w:r>
    </w:p>
    <w:p w14:paraId="11385B7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rPr>
          <w:rFonts w:hint="eastAsia" w:ascii="方正仿宋_GBK" w:hAnsi="方正仿宋_GBK" w:eastAsia="方正仿宋_GBK" w:cs="方正仿宋_GBK"/>
          <w:i w:val="0"/>
          <w:iCs w:val="0"/>
          <w:color w:val="auto"/>
          <w:kern w:val="2"/>
          <w:sz w:val="32"/>
          <w:szCs w:val="32"/>
          <w:u w:val="none"/>
          <w:lang w:val="en-US" w:eastAsia="zh-CN" w:bidi="ar-SA"/>
        </w:rPr>
      </w:pPr>
      <w:r>
        <w:rPr>
          <w:rFonts w:hint="eastAsia" w:ascii="方正仿宋_GBK" w:hAnsi="方正仿宋_GBK" w:eastAsia="方正仿宋_GBK" w:cs="方正仿宋_GBK"/>
          <w:i w:val="0"/>
          <w:iCs w:val="0"/>
          <w:color w:val="auto"/>
          <w:kern w:val="2"/>
          <w:sz w:val="32"/>
          <w:szCs w:val="32"/>
          <w:u w:val="none"/>
          <w:lang w:val="en-US" w:eastAsia="zh-CN" w:bidi="ar-SA"/>
        </w:rPr>
        <w:t>（五）工作底稿（电子稿一份）；</w:t>
      </w:r>
    </w:p>
    <w:p w14:paraId="3D2A3C4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rPr>
          <w:rFonts w:hint="eastAsia" w:ascii="方正仿宋_GBK" w:hAnsi="方正仿宋_GBK" w:eastAsia="方正仿宋_GBK" w:cs="方正仿宋_GBK"/>
          <w:i w:val="0"/>
          <w:iCs w:val="0"/>
          <w:color w:val="auto"/>
          <w:kern w:val="2"/>
          <w:sz w:val="32"/>
          <w:szCs w:val="32"/>
          <w:u w:val="none"/>
          <w:lang w:val="en-US" w:eastAsia="zh-CN" w:bidi="ar-SA"/>
        </w:rPr>
      </w:pPr>
      <w:r>
        <w:rPr>
          <w:rFonts w:hint="eastAsia" w:ascii="方正仿宋_GBK" w:hAnsi="方正仿宋_GBK" w:eastAsia="方正仿宋_GBK" w:cs="方正仿宋_GBK"/>
          <w:i w:val="0"/>
          <w:iCs w:val="0"/>
          <w:color w:val="auto"/>
          <w:kern w:val="2"/>
          <w:sz w:val="32"/>
          <w:szCs w:val="32"/>
          <w:u w:val="none"/>
          <w:lang w:val="en-US" w:eastAsia="zh-CN" w:bidi="ar-SA"/>
        </w:rPr>
        <w:t>（六）整改建议书。</w:t>
      </w:r>
    </w:p>
    <w:p w14:paraId="0300439C">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方正黑体_GBK" w:hAnsi="方正黑体_GBK" w:eastAsia="方正黑体_GBK" w:cs="方正黑体_GBK"/>
          <w:b/>
          <w:bCs/>
          <w:i w:val="0"/>
          <w:iCs w:val="0"/>
          <w:color w:val="auto"/>
          <w:sz w:val="32"/>
          <w:szCs w:val="32"/>
          <w:u w:val="none"/>
          <w:lang w:val="en-US" w:eastAsia="zh-CN"/>
        </w:rPr>
      </w:pPr>
      <w:r>
        <w:rPr>
          <w:rFonts w:hint="eastAsia" w:ascii="方正黑体_GBK" w:hAnsi="方正黑体_GBK" w:eastAsia="方正黑体_GBK" w:cs="方正黑体_GBK"/>
          <w:b/>
          <w:bCs/>
          <w:i w:val="0"/>
          <w:iCs w:val="0"/>
          <w:color w:val="auto"/>
          <w:sz w:val="32"/>
          <w:szCs w:val="32"/>
          <w:u w:val="none"/>
          <w:lang w:val="en-US" w:eastAsia="zh-CN"/>
        </w:rPr>
        <w:t>四、预计服务时间</w:t>
      </w:r>
    </w:p>
    <w:p w14:paraId="0A0A7AB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（一）合同签订后，乙方按采购人审计部门要求的各个具体时间段提供相应的服务成果。合同到期后，如审计项目正在实施，乙方应继续履行合同</w:t>
      </w:r>
      <w:bookmarkStart w:id="0" w:name="_GoBack"/>
      <w:bookmarkEnd w:id="0"/>
      <w:r>
        <w:rPr>
          <w:rFonts w:hint="eastAsia" w:ascii="方正仿宋_GBK" w:hAnsi="方正仿宋_GBK" w:eastAsia="方正仿宋_GBK" w:cs="方正仿宋_GBK"/>
          <w:b w:val="0"/>
          <w:bCs w:val="0"/>
          <w:i w:val="0"/>
          <w:iCs w:val="0"/>
          <w:color w:val="auto"/>
          <w:sz w:val="32"/>
          <w:szCs w:val="32"/>
          <w:u w:val="none"/>
          <w:lang w:val="en-US" w:eastAsia="zh-CN"/>
        </w:rPr>
        <w:t>义务，直到该项目完成。</w:t>
      </w:r>
    </w:p>
    <w:p w14:paraId="34B765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方正仿宋_GBK" w:hAnsi="方正仿宋_GBK" w:eastAsia="方正仿宋_GBK" w:cs="方正仿宋_GBK"/>
          <w:b w:val="0"/>
          <w:bCs w:val="0"/>
          <w:i w:val="0"/>
          <w:iCs w:val="0"/>
          <w:color w:val="auto"/>
          <w:sz w:val="32"/>
          <w:szCs w:val="32"/>
          <w:u w:val="none"/>
          <w:lang w:val="en-US" w:eastAsia="zh-CN"/>
        </w:rPr>
      </w:pPr>
      <w:r>
        <w:rPr>
          <w:rFonts w:hint="eastAsia" w:ascii="方正仿宋_GBK" w:hAnsi="方正仿宋_GBK" w:eastAsia="方正仿宋_GBK" w:cs="方正仿宋_GBK"/>
          <w:b w:val="0"/>
          <w:bCs w:val="0"/>
          <w:i w:val="0"/>
          <w:iCs w:val="0"/>
          <w:color w:val="auto"/>
          <w:sz w:val="32"/>
          <w:szCs w:val="32"/>
          <w:u w:val="none"/>
          <w:lang w:val="en-US" w:eastAsia="zh-CN"/>
        </w:rPr>
        <w:t>（二）每个审计项目从接到审计任务且收到最后一份资料到成果文件的提交在30个工作日以内完成。</w:t>
      </w:r>
    </w:p>
    <w:p w14:paraId="7375BE10">
      <w:pPr>
        <w:keepNext w:val="0"/>
        <w:keepLines w:val="0"/>
        <w:pageBreakBefore w:val="0"/>
        <w:widowControl/>
        <w:suppressLineNumbers w:val="0"/>
        <w:kinsoku/>
        <w:wordWrap/>
        <w:overflowPunct/>
        <w:topLinePunct w:val="0"/>
        <w:autoSpaceDE/>
        <w:autoSpaceDN/>
        <w:bidi w:val="0"/>
        <w:adjustRightInd/>
        <w:snapToGrid/>
        <w:spacing w:line="600" w:lineRule="exact"/>
        <w:ind w:firstLine="440" w:firstLineChars="200"/>
        <w:jc w:val="both"/>
        <w:textAlignment w:val="center"/>
        <w:rPr>
          <w:rFonts w:hint="eastAsia" w:ascii="宋体" w:hAnsi="宋体" w:eastAsia="宋体" w:cs="宋体"/>
          <w:b w:val="0"/>
          <w:bCs w:val="0"/>
          <w:i w:val="0"/>
          <w:iCs w:val="0"/>
          <w:color w:val="auto"/>
          <w:sz w:val="22"/>
          <w:szCs w:val="2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embedRegular r:id="rId1" w:fontKey="{CCE793A6-26C4-4AE8-AF78-1FA5A1A44276}"/>
  </w:font>
  <w:font w:name="方正小标宋_GBK">
    <w:panose1 w:val="02000000000000000000"/>
    <w:charset w:val="86"/>
    <w:family w:val="auto"/>
    <w:pitch w:val="default"/>
    <w:sig w:usb0="00000001" w:usb1="080E0000" w:usb2="00000000" w:usb3="00000000" w:csb0="00040000" w:csb1="00000000"/>
    <w:embedRegular r:id="rId2" w:fontKey="{C9950079-6369-40E1-A8FA-1AA97FCB43F8}"/>
  </w:font>
  <w:font w:name="方正黑体_GBK">
    <w:panose1 w:val="03000509000000000000"/>
    <w:charset w:val="86"/>
    <w:family w:val="auto"/>
    <w:pitch w:val="default"/>
    <w:sig w:usb0="00000001" w:usb1="080E0000" w:usb2="00000000" w:usb3="00000000" w:csb0="00040000" w:csb1="00000000"/>
    <w:embedRegular r:id="rId3" w:fontKey="{B6319F87-D8B8-4275-83E6-AC71D1488B7C}"/>
  </w:font>
  <w:font w:name="方正仿宋_GBK">
    <w:panose1 w:val="03000509000000000000"/>
    <w:charset w:val="86"/>
    <w:family w:val="auto"/>
    <w:pitch w:val="default"/>
    <w:sig w:usb0="00000001" w:usb1="080E0000" w:usb2="00000000" w:usb3="00000000" w:csb0="00040000" w:csb1="00000000"/>
    <w:embedRegular r:id="rId4" w:fontKey="{B3352C41-A1AA-4B81-AA2C-FF4C61090B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C29EB"/>
    <w:rsid w:val="013C29EB"/>
    <w:rsid w:val="01513038"/>
    <w:rsid w:val="10C55FD8"/>
    <w:rsid w:val="11A85A81"/>
    <w:rsid w:val="13CC58CF"/>
    <w:rsid w:val="1447131A"/>
    <w:rsid w:val="2A0B78EE"/>
    <w:rsid w:val="34012F1B"/>
    <w:rsid w:val="387463B2"/>
    <w:rsid w:val="43D47D05"/>
    <w:rsid w:val="45C01997"/>
    <w:rsid w:val="46B856BC"/>
    <w:rsid w:val="4C7D5AE9"/>
    <w:rsid w:val="4DDA060D"/>
    <w:rsid w:val="58CD149A"/>
    <w:rsid w:val="642108EC"/>
    <w:rsid w:val="64634A61"/>
    <w:rsid w:val="655B0319"/>
    <w:rsid w:val="6B284E87"/>
    <w:rsid w:val="6C491EA9"/>
    <w:rsid w:val="6E005A16"/>
    <w:rsid w:val="72343495"/>
    <w:rsid w:val="758C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1723</Words>
  <Characters>1789</Characters>
  <Lines>0</Lines>
  <Paragraphs>0</Paragraphs>
  <TotalTime>0</TotalTime>
  <ScaleCrop>false</ScaleCrop>
  <LinksUpToDate>false</LinksUpToDate>
  <CharactersWithSpaces>1793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2025-03-04T00:55:00Z</dcterms:created>
  <dc:creator>小鬼林</dc:creator>
  <cp:lastModifiedBy>x.x.m</cp:lastModifiedBy>
  <dcterms:modified xsi:type="dcterms:W3CDTF">2026-01-05T10:29:03Z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D2A6ABF7466645C69510A11B44134AA9_11</vt:lpwstr>
  </property>
  <property fmtid="{D5CDD505-2E9C-101B-9397-08002B2CF9AE}" pid="4" name="KSOTemplateDocerSaveRecord">
    <vt:lpwstr>eyJoZGlkIjoiMWNmODhiOTVlMjFhOTU0ZmE1MmE3MWYyZjgzZWIyNzMiLCJ1c2VySWQiOiIzMzUzNTk5MzYifQ==</vt:lpwstr>
  </property>
</Properties>
</file>